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620" w:firstRow="1" w:lastRow="0" w:firstColumn="0" w:lastColumn="0" w:noHBand="1" w:noVBand="1"/>
      </w:tblPr>
      <w:tblGrid>
        <w:gridCol w:w="9972"/>
      </w:tblGrid>
      <w:tr w:rsidR="00CC75F5" w:rsidRPr="001F69EA" w14:paraId="748DBC4A" w14:textId="77777777" w:rsidTr="54907166">
        <w:tc>
          <w:tcPr>
            <w:tcW w:w="10204" w:type="dxa"/>
          </w:tcPr>
          <w:p w14:paraId="770001AE" w14:textId="19C343C8" w:rsidR="00CC75F5" w:rsidRPr="001F69EA" w:rsidRDefault="000B7108" w:rsidP="00940575">
            <w:pPr>
              <w:pStyle w:val="Title"/>
            </w:pPr>
            <w:bookmarkStart w:id="0" w:name="_Toc143696822"/>
            <w:bookmarkStart w:id="1" w:name="_Toc143696848"/>
            <w:bookmarkStart w:id="2" w:name="_Toc146578427"/>
            <w:r w:rsidRPr="001F69EA">
              <w:t>ESG Ratings Working Group</w:t>
            </w:r>
          </w:p>
          <w:p w14:paraId="564D74FC" w14:textId="5E01FD28" w:rsidR="00986354" w:rsidRPr="001F69EA" w:rsidRDefault="5666A368" w:rsidP="54907166">
            <w:pPr>
              <w:pStyle w:val="Subtitle"/>
              <w:spacing w:line="259" w:lineRule="auto"/>
              <w:rPr>
                <w:lang w:val="en-US"/>
              </w:rPr>
            </w:pPr>
            <w:r w:rsidRPr="54907166">
              <w:rPr>
                <w:lang w:val="en-US"/>
              </w:rPr>
              <w:t>M</w:t>
            </w:r>
            <w:r w:rsidR="037422A0" w:rsidRPr="54907166">
              <w:rPr>
                <w:lang w:val="en-US"/>
              </w:rPr>
              <w:t>ay</w:t>
            </w:r>
            <w:r w:rsidR="000B7108" w:rsidRPr="54907166">
              <w:rPr>
                <w:lang w:val="en-US"/>
              </w:rPr>
              <w:t xml:space="preserve"> 2026</w:t>
            </w:r>
            <w:r w:rsidR="00FE0D3C">
              <w:rPr>
                <w:lang w:val="en-US"/>
              </w:rPr>
              <w:t xml:space="preserve"> | CDP</w:t>
            </w:r>
          </w:p>
        </w:tc>
      </w:tr>
      <w:tr w:rsidR="00B110BA" w:rsidRPr="001F69EA" w14:paraId="6E105A30" w14:textId="77777777" w:rsidTr="54907166">
        <w:trPr>
          <w:trHeight w:val="77"/>
        </w:trPr>
        <w:tc>
          <w:tcPr>
            <w:tcW w:w="10204" w:type="dxa"/>
          </w:tcPr>
          <w:p w14:paraId="7C7D4D6D" w14:textId="77777777" w:rsidR="00B110BA" w:rsidRPr="001F69EA" w:rsidRDefault="00B110BA" w:rsidP="00AE635E">
            <w:pPr>
              <w:pStyle w:val="Casestudydetails"/>
              <w:rPr>
                <w:caps/>
                <w:lang w:val="en-US"/>
              </w:rPr>
            </w:pPr>
          </w:p>
        </w:tc>
      </w:tr>
      <w:tr w:rsidR="00D9460A" w:rsidRPr="001F69EA" w14:paraId="10948429" w14:textId="77777777" w:rsidTr="54907166">
        <w:trPr>
          <w:trHeight w:val="865"/>
        </w:trPr>
        <w:tc>
          <w:tcPr>
            <w:tcW w:w="10204" w:type="dxa"/>
            <w:tcBorders>
              <w:bottom w:val="single" w:sz="2" w:space="0" w:color="82887E" w:themeColor="accent6"/>
            </w:tcBorders>
          </w:tcPr>
          <w:p w14:paraId="7CF54CA8" w14:textId="6C50F22F" w:rsidR="00D9460A" w:rsidRPr="001F69EA" w:rsidRDefault="000B7108" w:rsidP="2ADAB392">
            <w:pPr>
              <w:pStyle w:val="Introduction"/>
              <w:rPr>
                <w:color w:val="FF0000"/>
                <w:sz w:val="20"/>
                <w:szCs w:val="20"/>
              </w:rPr>
            </w:pPr>
            <w:r w:rsidRPr="54907166">
              <w:rPr>
                <w:sz w:val="20"/>
                <w:szCs w:val="20"/>
              </w:rPr>
              <w:t>The </w:t>
            </w:r>
            <w:hyperlink r:id="rId13">
              <w:r w:rsidRPr="54907166">
                <w:rPr>
                  <w:rStyle w:val="Hyperlink"/>
                  <w:sz w:val="20"/>
                  <w:szCs w:val="20"/>
                </w:rPr>
                <w:t>ESG Ratings Working Group</w:t>
              </w:r>
            </w:hyperlink>
            <w:r w:rsidRPr="54907166">
              <w:rPr>
                <w:rFonts w:ascii="Arial" w:hAnsi="Arial" w:cs="Arial"/>
                <w:sz w:val="20"/>
                <w:szCs w:val="20"/>
              </w:rPr>
              <w:t>​</w:t>
            </w:r>
            <w:r w:rsidRPr="54907166">
              <w:rPr>
                <w:rFonts w:ascii="Verdana" w:hAnsi="Verdana" w:cs="Verdana"/>
                <w:sz w:val="20"/>
                <w:szCs w:val="20"/>
              </w:rPr>
              <w:t> </w:t>
            </w:r>
            <w:r w:rsidRPr="54907166">
              <w:rPr>
                <w:sz w:val="20"/>
                <w:szCs w:val="20"/>
              </w:rPr>
              <w:t xml:space="preserve">held the </w:t>
            </w:r>
            <w:r w:rsidR="181D2918" w:rsidRPr="54907166">
              <w:rPr>
                <w:sz w:val="20"/>
                <w:szCs w:val="20"/>
              </w:rPr>
              <w:t xml:space="preserve">third </w:t>
            </w:r>
            <w:r w:rsidRPr="54907166">
              <w:rPr>
                <w:sz w:val="20"/>
                <w:szCs w:val="20"/>
              </w:rPr>
              <w:t xml:space="preserve">session of our 2026 series on Wednesday, </w:t>
            </w:r>
            <w:r w:rsidR="6702B976" w:rsidRPr="54907166">
              <w:rPr>
                <w:sz w:val="20"/>
                <w:szCs w:val="20"/>
              </w:rPr>
              <w:t>Ma</w:t>
            </w:r>
            <w:r w:rsidR="61F12F2D" w:rsidRPr="54907166">
              <w:rPr>
                <w:sz w:val="20"/>
                <w:szCs w:val="20"/>
              </w:rPr>
              <w:t>y 6t</w:t>
            </w:r>
            <w:r w:rsidRPr="54907166">
              <w:rPr>
                <w:sz w:val="20"/>
                <w:szCs w:val="20"/>
              </w:rPr>
              <w:t>h, featuring </w:t>
            </w:r>
            <w:r w:rsidR="50DC4F6E" w:rsidRPr="54907166">
              <w:rPr>
                <w:sz w:val="20"/>
                <w:szCs w:val="20"/>
              </w:rPr>
              <w:t>R</w:t>
            </w:r>
            <w:r w:rsidR="0AFA939E" w:rsidRPr="54907166">
              <w:rPr>
                <w:sz w:val="20"/>
                <w:szCs w:val="20"/>
              </w:rPr>
              <w:t xml:space="preserve">adhika </w:t>
            </w:r>
            <w:r w:rsidR="596BC8B1" w:rsidRPr="54907166">
              <w:rPr>
                <w:sz w:val="20"/>
                <w:szCs w:val="20"/>
              </w:rPr>
              <w:t>Mehrotra, Head of Data and Channel Partnerships, Americas at CDP</w:t>
            </w:r>
            <w:r w:rsidRPr="54907166">
              <w:rPr>
                <w:sz w:val="20"/>
                <w:szCs w:val="20"/>
              </w:rPr>
              <w:t xml:space="preserve">. </w:t>
            </w:r>
          </w:p>
          <w:p w14:paraId="5D0C97D4" w14:textId="60FE1236" w:rsidR="00D9460A" w:rsidRPr="001F69EA" w:rsidRDefault="1F0E1B80" w:rsidP="54907166">
            <w:pPr>
              <w:pStyle w:val="Introduction"/>
              <w:rPr>
                <w:color w:val="FF0000"/>
                <w:sz w:val="20"/>
                <w:szCs w:val="20"/>
              </w:rPr>
            </w:pPr>
            <w:r w:rsidRPr="54907166">
              <w:rPr>
                <w:sz w:val="20"/>
                <w:szCs w:val="20"/>
              </w:rPr>
              <w:t xml:space="preserve">The session focused on how CDP is evolving its questionnaire and data offerings for 2026, including the new Oceans theme, expanded </w:t>
            </w:r>
            <w:r w:rsidR="341A053C" w:rsidRPr="54907166">
              <w:rPr>
                <w:sz w:val="20"/>
                <w:szCs w:val="20"/>
              </w:rPr>
              <w:t>small</w:t>
            </w:r>
            <w:r w:rsidR="1FB88843" w:rsidRPr="54907166">
              <w:rPr>
                <w:sz w:val="20"/>
                <w:szCs w:val="20"/>
              </w:rPr>
              <w:t xml:space="preserve"> and </w:t>
            </w:r>
            <w:r w:rsidR="00AC04C9">
              <w:rPr>
                <w:sz w:val="20"/>
                <w:szCs w:val="20"/>
              </w:rPr>
              <w:t>medium-sized</w:t>
            </w:r>
            <w:r w:rsidR="341A053C" w:rsidRPr="54907166">
              <w:rPr>
                <w:sz w:val="20"/>
                <w:szCs w:val="20"/>
              </w:rPr>
              <w:t xml:space="preserve"> enterprise (</w:t>
            </w:r>
            <w:r w:rsidRPr="54907166">
              <w:rPr>
                <w:sz w:val="20"/>
                <w:szCs w:val="20"/>
              </w:rPr>
              <w:t>SME</w:t>
            </w:r>
            <w:r w:rsidR="54A19C7F" w:rsidRPr="54907166">
              <w:rPr>
                <w:sz w:val="20"/>
                <w:szCs w:val="20"/>
              </w:rPr>
              <w:t>)</w:t>
            </w:r>
            <w:r w:rsidRPr="54907166">
              <w:rPr>
                <w:sz w:val="20"/>
                <w:szCs w:val="20"/>
              </w:rPr>
              <w:t xml:space="preserve"> content, closer alignment with TNFD and other standards, and AI</w:t>
            </w:r>
            <w:r w:rsidR="005B1BF6">
              <w:noBreakHyphen/>
            </w:r>
            <w:r w:rsidRPr="54907166">
              <w:rPr>
                <w:sz w:val="20"/>
                <w:szCs w:val="20"/>
              </w:rPr>
              <w:t>enabled platform features aimed at reducing disclosure burden and improving data usability. It also explored how companies are using CDP disclosure to support emerging regulatory requirements (including in California), the continuing role of scores for investors and index providers, and CDP’s perspective on the shifting ESG landscape and its own evolution through the rest of the decade.</w:t>
            </w:r>
          </w:p>
          <w:p w14:paraId="0566E29F" w14:textId="2A1A5237" w:rsidR="00D9460A" w:rsidRPr="001F69EA" w:rsidRDefault="1F0E1B80" w:rsidP="54907166">
            <w:pPr>
              <w:pStyle w:val="Introduction"/>
              <w:rPr>
                <w:sz w:val="20"/>
                <w:szCs w:val="20"/>
              </w:rPr>
            </w:pPr>
            <w:r w:rsidRPr="54907166">
              <w:rPr>
                <w:sz w:val="20"/>
                <w:szCs w:val="20"/>
              </w:rPr>
              <w:t>In the member</w:t>
            </w:r>
            <w:r w:rsidR="005B1BF6">
              <w:noBreakHyphen/>
            </w:r>
            <w:r w:rsidRPr="54907166">
              <w:rPr>
                <w:sz w:val="20"/>
                <w:szCs w:val="20"/>
              </w:rPr>
              <w:t xml:space="preserve">only discussion, we debriefed </w:t>
            </w:r>
            <w:r w:rsidR="32D7C0CA" w:rsidRPr="3976986E">
              <w:rPr>
                <w:sz w:val="20"/>
                <w:szCs w:val="20"/>
              </w:rPr>
              <w:t>the CDP discussion</w:t>
            </w:r>
            <w:r w:rsidRPr="54907166">
              <w:rPr>
                <w:sz w:val="20"/>
                <w:szCs w:val="20"/>
              </w:rPr>
              <w:t xml:space="preserve"> and shared examples of CDP data being used directly in major customer programs alongside regulatory readiness. Members were also invited to consider how their CDP plans align with the regions where they operate, before turning to a brief current</w:t>
            </w:r>
            <w:r w:rsidR="4C47C5F4" w:rsidRPr="7A11112A">
              <w:rPr>
                <w:sz w:val="20"/>
                <w:szCs w:val="20"/>
              </w:rPr>
              <w:t xml:space="preserve"> </w:t>
            </w:r>
            <w:r w:rsidRPr="54907166">
              <w:rPr>
                <w:sz w:val="20"/>
                <w:szCs w:val="20"/>
              </w:rPr>
              <w:t>events update and a look ahead to upcoming sessions.</w:t>
            </w:r>
          </w:p>
          <w:p w14:paraId="0460CC91" w14:textId="0EA69E00" w:rsidR="00D9460A" w:rsidRPr="001F69EA" w:rsidRDefault="00D9460A" w:rsidP="54907166">
            <w:pPr>
              <w:pStyle w:val="Introduction"/>
              <w:rPr>
                <w:color w:val="FF0000"/>
                <w:sz w:val="20"/>
                <w:szCs w:val="20"/>
              </w:rPr>
            </w:pPr>
          </w:p>
        </w:tc>
      </w:tr>
    </w:tbl>
    <w:bookmarkEnd w:id="0"/>
    <w:bookmarkEnd w:id="1"/>
    <w:bookmarkEnd w:id="2"/>
    <w:p w14:paraId="2C9ED630" w14:textId="66220B1A" w:rsidR="000C4871" w:rsidRPr="001F69EA" w:rsidRDefault="0065589E" w:rsidP="009D4C8C">
      <w:pPr>
        <w:pStyle w:val="Heading1"/>
      </w:pPr>
      <w:r>
        <w:t xml:space="preserve">Q&amp;a with </w:t>
      </w:r>
      <w:r w:rsidR="31BF8225">
        <w:t>radhika MEHROtra</w:t>
      </w:r>
    </w:p>
    <w:p w14:paraId="2FFC3CDB" w14:textId="4183C1AF" w:rsidR="0EFE6457" w:rsidRDefault="0EFE6457" w:rsidP="54907166">
      <w:pPr>
        <w:pStyle w:val="NumberedText"/>
        <w:rPr>
          <w:b/>
          <w:bCs/>
          <w:lang w:val="en-US"/>
        </w:rPr>
      </w:pPr>
      <w:r w:rsidRPr="54907166">
        <w:rPr>
          <w:b/>
          <w:bCs/>
          <w:lang w:val="en-US"/>
        </w:rPr>
        <w:t xml:space="preserve">How has CDP evolved since we last spoke? What’s new for 2026? </w:t>
      </w:r>
    </w:p>
    <w:p w14:paraId="44B48C91" w14:textId="26AC7064" w:rsidR="2D89E617" w:rsidRDefault="2D89E617" w:rsidP="54907166">
      <w:pPr>
        <w:pStyle w:val="NumberedText"/>
        <w:numPr>
          <w:ilvl w:val="0"/>
          <w:numId w:val="0"/>
        </w:numPr>
        <w:ind w:left="397"/>
        <w:rPr>
          <w:lang w:val="en-US"/>
        </w:rPr>
      </w:pPr>
      <w:r w:rsidRPr="54907166">
        <w:rPr>
          <w:lang w:val="en-US"/>
        </w:rPr>
        <w:t>This year</w:t>
      </w:r>
      <w:r w:rsidR="00644EB4">
        <w:rPr>
          <w:lang w:val="en-US"/>
        </w:rPr>
        <w:t>,</w:t>
      </w:r>
      <w:r w:rsidRPr="54907166">
        <w:rPr>
          <w:lang w:val="en-US"/>
        </w:rPr>
        <w:t xml:space="preserve"> we’ve been focusing on how CDP can better connect the very rich information companies disclose with the growing number of organizations that depend on that data. My role is primarily on the data</w:t>
      </w:r>
      <w:r>
        <w:noBreakHyphen/>
      </w:r>
      <w:r w:rsidRPr="54907166">
        <w:rPr>
          <w:lang w:val="en-US"/>
        </w:rPr>
        <w:t>user side in the Americas, so a lot of what’s “new” is about how we structure, package</w:t>
      </w:r>
      <w:r w:rsidR="149D0FDC" w:rsidRPr="1A0D6B51">
        <w:rPr>
          <w:lang w:val="en-US"/>
        </w:rPr>
        <w:t>,</w:t>
      </w:r>
      <w:r w:rsidRPr="54907166">
        <w:rPr>
          <w:lang w:val="en-US"/>
        </w:rPr>
        <w:t xml:space="preserve"> and share CDP data so it can be used more efficiently by financial institutions, customers</w:t>
      </w:r>
      <w:r w:rsidR="4700D87C" w:rsidRPr="76118348">
        <w:rPr>
          <w:lang w:val="en-US"/>
        </w:rPr>
        <w:t>,</w:t>
      </w:r>
      <w:r w:rsidRPr="54907166">
        <w:rPr>
          <w:lang w:val="en-US"/>
        </w:rPr>
        <w:t xml:space="preserve"> and other partners. From that vantage point, the evolution is less about a single headline change and more about steadily strengthening the links between what companies report to CDP and the different external use cases it needs to serve.</w:t>
      </w:r>
    </w:p>
    <w:p w14:paraId="13BCF835" w14:textId="217D1EFB" w:rsidR="005472A4" w:rsidRDefault="005472A4" w:rsidP="005472A4">
      <w:pPr>
        <w:pStyle w:val="NumberedText"/>
        <w:numPr>
          <w:ilvl w:val="0"/>
          <w:numId w:val="0"/>
        </w:numPr>
        <w:ind w:left="397"/>
        <w:rPr>
          <w:lang w:val="en-US"/>
        </w:rPr>
      </w:pPr>
      <w:r w:rsidRPr="005472A4">
        <w:rPr>
          <w:lang w:val="en-US"/>
        </w:rPr>
        <w:t>At the same time, CDP has continued to expand beyond climate into broader nature topics, including oceans, and to align more closely with emerging frameworks such as the TNFD, so that companies can use a single disclosure to respond to a wider set of nature</w:t>
      </w:r>
      <w:r w:rsidRPr="005472A4">
        <w:rPr>
          <w:lang w:val="en-US"/>
        </w:rPr>
        <w:noBreakHyphen/>
        <w:t>related risks and expectations. For 2026, that includes introducing a new, opt</w:t>
      </w:r>
      <w:r w:rsidRPr="005472A4">
        <w:rPr>
          <w:lang w:val="en-US"/>
        </w:rPr>
        <w:noBreakHyphen/>
        <w:t>in</w:t>
      </w:r>
      <w:r>
        <w:rPr>
          <w:lang w:val="en-US"/>
        </w:rPr>
        <w:t>,</w:t>
      </w:r>
      <w:r w:rsidRPr="005472A4">
        <w:rPr>
          <w:lang w:val="en-US"/>
        </w:rPr>
        <w:t xml:space="preserve"> and unscored set of ocean</w:t>
      </w:r>
      <w:r w:rsidRPr="005472A4">
        <w:rPr>
          <w:lang w:val="en-US"/>
        </w:rPr>
        <w:noBreakHyphen/>
        <w:t>focused questions in the full corporate questionnaire, further closing TNFD’s “ocean realm” gap and supporting more holistic nature disclosure.</w:t>
      </w:r>
    </w:p>
    <w:p w14:paraId="48BCF121" w14:textId="77777777" w:rsidR="005472A4" w:rsidRDefault="005472A4" w:rsidP="005472A4">
      <w:pPr>
        <w:pStyle w:val="NumberedText"/>
        <w:numPr>
          <w:ilvl w:val="0"/>
          <w:numId w:val="0"/>
        </w:numPr>
        <w:ind w:left="397"/>
        <w:rPr>
          <w:lang w:val="en-US"/>
        </w:rPr>
      </w:pPr>
    </w:p>
    <w:p w14:paraId="00251682" w14:textId="77777777" w:rsidR="005472A4" w:rsidRPr="005472A4" w:rsidRDefault="005472A4" w:rsidP="005472A4">
      <w:pPr>
        <w:pStyle w:val="NumberedText"/>
        <w:numPr>
          <w:ilvl w:val="0"/>
          <w:numId w:val="0"/>
        </w:numPr>
        <w:ind w:left="397"/>
        <w:rPr>
          <w:b/>
          <w:bCs/>
          <w:lang w:val="en-US"/>
        </w:rPr>
      </w:pPr>
    </w:p>
    <w:p w14:paraId="74A7B989" w14:textId="1801AFAB" w:rsidR="48900950" w:rsidRDefault="48900950" w:rsidP="54907166">
      <w:pPr>
        <w:pStyle w:val="NumberedText"/>
        <w:rPr>
          <w:b/>
          <w:bCs/>
          <w:lang w:val="en-US"/>
        </w:rPr>
      </w:pPr>
      <w:r w:rsidRPr="54907166">
        <w:rPr>
          <w:b/>
          <w:bCs/>
          <w:lang w:val="en-US"/>
        </w:rPr>
        <w:lastRenderedPageBreak/>
        <w:t xml:space="preserve">Last time we spoke, we discussed how some companies were planning to use CDP disclosure completion to prepare to meet </w:t>
      </w:r>
      <w:r w:rsidR="6304678C" w:rsidRPr="4C6C539E">
        <w:rPr>
          <w:b/>
          <w:bCs/>
          <w:lang w:val="en-US"/>
        </w:rPr>
        <w:t xml:space="preserve">California </w:t>
      </w:r>
      <w:r w:rsidRPr="54907166">
        <w:rPr>
          <w:b/>
          <w:bCs/>
          <w:lang w:val="en-US"/>
        </w:rPr>
        <w:t xml:space="preserve">and other regulations. What does this look like in 2026, and what other use cases </w:t>
      </w:r>
      <w:r w:rsidR="5BC90C55" w:rsidRPr="7A3E0783">
        <w:rPr>
          <w:b/>
          <w:bCs/>
          <w:lang w:val="en-US"/>
        </w:rPr>
        <w:t>do</w:t>
      </w:r>
      <w:r w:rsidRPr="54907166">
        <w:rPr>
          <w:b/>
          <w:bCs/>
          <w:lang w:val="en-US"/>
        </w:rPr>
        <w:t xml:space="preserve"> you see in terms of how companies leverage CDP disclosures?</w:t>
      </w:r>
    </w:p>
    <w:p w14:paraId="0DCEF5C8" w14:textId="6C989822" w:rsidR="083B1413" w:rsidRDefault="083B1413" w:rsidP="54907166">
      <w:pPr>
        <w:pStyle w:val="NumberedText"/>
        <w:numPr>
          <w:ilvl w:val="0"/>
          <w:numId w:val="0"/>
        </w:numPr>
        <w:ind w:left="397"/>
        <w:rPr>
          <w:lang w:val="en-US"/>
        </w:rPr>
      </w:pPr>
      <w:r w:rsidRPr="65B91742">
        <w:rPr>
          <w:rFonts w:ascii="Verdana" w:eastAsia="Verdana" w:hAnsi="Verdana"/>
        </w:rPr>
        <w:t>From my perspective on the data</w:t>
      </w:r>
      <w:r>
        <w:noBreakHyphen/>
      </w:r>
      <w:r w:rsidRPr="65B91742">
        <w:rPr>
          <w:rFonts w:ascii="Verdana" w:eastAsia="Verdana" w:hAnsi="Verdana"/>
        </w:rPr>
        <w:t>user side, the main shift is that companies increasingly treat CDP disclosure as something that should serve multiple audiences at once, rather than as a standalone exercise. They are using the same underlying information to prepare for evolving regulatory expectations, and to feed into the tools and platforms used by financial institutions and other partners who consume CDP data. That means a lot of our work now is about making sure those disclosures are structured and delivered in a way that supports those different use cases efficiently, while still being grounded in what companies report to us.</w:t>
      </w:r>
    </w:p>
    <w:p w14:paraId="703AB244" w14:textId="320D4DCA" w:rsidR="54907166" w:rsidRDefault="54907166" w:rsidP="54907166">
      <w:pPr>
        <w:pStyle w:val="NumberedText"/>
        <w:numPr>
          <w:ilvl w:val="0"/>
          <w:numId w:val="0"/>
        </w:numPr>
        <w:ind w:left="397"/>
        <w:rPr>
          <w:rFonts w:ascii="Verdana" w:eastAsia="Verdana" w:hAnsi="Verdana"/>
          <w:szCs w:val="20"/>
        </w:rPr>
      </w:pPr>
    </w:p>
    <w:p w14:paraId="3538847F" w14:textId="3B48DF12" w:rsidR="46F24173" w:rsidRDefault="46F24173" w:rsidP="54907166">
      <w:pPr>
        <w:pStyle w:val="NumberedText"/>
        <w:rPr>
          <w:b/>
          <w:bCs/>
          <w:lang w:val="en-US"/>
        </w:rPr>
      </w:pPr>
      <w:r w:rsidRPr="54907166">
        <w:rPr>
          <w:rFonts w:ascii="Verdana" w:eastAsia="Verdana" w:hAnsi="Verdana"/>
          <w:b/>
          <w:bCs/>
          <w:szCs w:val="20"/>
        </w:rPr>
        <w:t>How did companies react last year to CDP's change in public access? Has there been further conversation about public access at CDP since?</w:t>
      </w:r>
    </w:p>
    <w:p w14:paraId="1931AF3C" w14:textId="4333C3FF" w:rsidR="31CAF360" w:rsidRDefault="31CAF360" w:rsidP="54907166">
      <w:pPr>
        <w:pStyle w:val="NumberedText"/>
        <w:numPr>
          <w:ilvl w:val="0"/>
          <w:numId w:val="0"/>
        </w:numPr>
        <w:ind w:left="397"/>
        <w:rPr>
          <w:lang w:val="en-US"/>
        </w:rPr>
      </w:pPr>
      <w:r w:rsidRPr="2DEADCCB">
        <w:rPr>
          <w:rFonts w:ascii="Verdana" w:eastAsia="Verdana" w:hAnsi="Verdana"/>
        </w:rPr>
        <w:t>When the changes to public access were first introduced, it became very clear how widely CDP data was being relied on, because we saw a sharp spike in questions and concerns from different parts of our ecosystem. That prompted us to put more defined pathways in place for different categories of users: there are now clearer routes for commercial use on one side, and on the other, specific processes so that nonprofits, academics, students</w:t>
      </w:r>
      <w:r w:rsidR="305100C5" w:rsidRPr="2DEADCCB">
        <w:rPr>
          <w:rFonts w:ascii="Verdana" w:eastAsia="Verdana" w:hAnsi="Verdana"/>
        </w:rPr>
        <w:t>,</w:t>
      </w:r>
      <w:r w:rsidRPr="2DEADCCB">
        <w:rPr>
          <w:rFonts w:ascii="Verdana" w:eastAsia="Verdana" w:hAnsi="Verdana"/>
        </w:rPr>
        <w:t xml:space="preserve"> and media can continue to access the information they need for public</w:t>
      </w:r>
      <w:r w:rsidR="55A6BC9A" w:rsidRPr="1C5D4A0A">
        <w:rPr>
          <w:rFonts w:ascii="Verdana" w:eastAsia="Verdana" w:hAnsi="Verdana"/>
        </w:rPr>
        <w:t xml:space="preserve"> </w:t>
      </w:r>
      <w:r w:rsidRPr="2DEADCCB">
        <w:rPr>
          <w:rFonts w:ascii="Verdana" w:eastAsia="Verdana" w:hAnsi="Verdana"/>
        </w:rPr>
        <w:t>interest work. Internally, that has given us better visibility into who is using the data and for what purposes, which in turn helps us refine how we manage access going forward. From the company perspective, once those structures were in place, a lot of the initial uncertainty subsided, and this year we have not seen the same level of concern about “losing” the old open model.</w:t>
      </w:r>
    </w:p>
    <w:p w14:paraId="6AAF6509" w14:textId="5856A88F" w:rsidR="54907166" w:rsidRDefault="54907166" w:rsidP="54907166">
      <w:pPr>
        <w:pStyle w:val="NumberedText"/>
        <w:numPr>
          <w:ilvl w:val="0"/>
          <w:numId w:val="0"/>
        </w:numPr>
        <w:ind w:left="397"/>
        <w:rPr>
          <w:rFonts w:ascii="Verdana" w:eastAsia="Verdana" w:hAnsi="Verdana"/>
          <w:szCs w:val="20"/>
        </w:rPr>
      </w:pPr>
    </w:p>
    <w:p w14:paraId="7D58F07B" w14:textId="5A66B2AB" w:rsidR="31CAF360" w:rsidRDefault="31CAF360" w:rsidP="54907166">
      <w:pPr>
        <w:pStyle w:val="NumberedText"/>
        <w:rPr>
          <w:lang w:val="en-US"/>
        </w:rPr>
      </w:pPr>
      <w:r w:rsidRPr="7B751C31">
        <w:rPr>
          <w:rFonts w:ascii="Verdana" w:eastAsia="Verdana" w:hAnsi="Verdana"/>
          <w:b/>
        </w:rPr>
        <w:t xml:space="preserve">What has happened with the trend we discussed last series re companies responding but not being scored? How is this affecting how other stakeholders interpret corporate CDP participation and CDP itself?  </w:t>
      </w:r>
    </w:p>
    <w:p w14:paraId="75365CFF" w14:textId="34B3C49B" w:rsidR="31CAF360" w:rsidRDefault="31CAF360" w:rsidP="54907166">
      <w:pPr>
        <w:pStyle w:val="NumberedText"/>
        <w:numPr>
          <w:ilvl w:val="0"/>
          <w:numId w:val="0"/>
        </w:numPr>
        <w:ind w:left="397"/>
        <w:rPr>
          <w:rFonts w:ascii="Verdana" w:eastAsia="Verdana" w:hAnsi="Verdana"/>
          <w:lang w:val="en-US"/>
        </w:rPr>
      </w:pPr>
      <w:r w:rsidRPr="7FA612EF">
        <w:rPr>
          <w:rFonts w:ascii="Verdana" w:eastAsia="Verdana" w:hAnsi="Verdana"/>
          <w:lang w:val="en-US"/>
        </w:rPr>
        <w:t xml:space="preserve">We are </w:t>
      </w:r>
      <w:proofErr w:type="gramStart"/>
      <w:r w:rsidRPr="7FA612EF">
        <w:rPr>
          <w:rFonts w:ascii="Verdana" w:eastAsia="Verdana" w:hAnsi="Verdana"/>
          <w:lang w:val="en-US"/>
        </w:rPr>
        <w:t>definitely seeing</w:t>
      </w:r>
      <w:proofErr w:type="gramEnd"/>
      <w:r w:rsidRPr="7FA612EF">
        <w:rPr>
          <w:rFonts w:ascii="Verdana" w:eastAsia="Verdana" w:hAnsi="Verdana"/>
          <w:lang w:val="en-US"/>
        </w:rPr>
        <w:t xml:space="preserve"> some companies make a conscious decision to disclose through CDP while opting out of the scoring process, and they are usually quite clear about why they are doing that. For many of them, the priority at this moment is to use CDP as a framework to organize their data, understand gaps</w:t>
      </w:r>
      <w:r w:rsidR="1A1B34DB" w:rsidRPr="66168CB6">
        <w:rPr>
          <w:rFonts w:ascii="Verdana" w:eastAsia="Verdana" w:hAnsi="Verdana"/>
          <w:lang w:val="en-US"/>
        </w:rPr>
        <w:t>,</w:t>
      </w:r>
      <w:r w:rsidRPr="7FA612EF">
        <w:rPr>
          <w:rFonts w:ascii="Verdana" w:eastAsia="Verdana" w:hAnsi="Verdana"/>
          <w:lang w:val="en-US"/>
        </w:rPr>
        <w:t xml:space="preserve"> and benchmark internally, without sending a strong external signal via a public letter grade. They also recognize that different parts of the market read that choice differently: some investors and other stakeholders still rely on the score as a shorthand, while others are more focused on the underlying data they can integrate into their own models. As a result, companies are weighing these </w:t>
      </w:r>
      <w:proofErr w:type="spellStart"/>
      <w:r w:rsidRPr="7FA612EF">
        <w:rPr>
          <w:rFonts w:ascii="Verdana" w:eastAsia="Verdana" w:hAnsi="Verdana"/>
          <w:lang w:val="en-US"/>
        </w:rPr>
        <w:t>trade</w:t>
      </w:r>
      <w:r>
        <w:noBreakHyphen/>
      </w:r>
      <w:r w:rsidRPr="7FA612EF">
        <w:rPr>
          <w:rFonts w:ascii="Verdana" w:eastAsia="Verdana" w:hAnsi="Verdana"/>
          <w:lang w:val="en-US"/>
        </w:rPr>
        <w:t>offs</w:t>
      </w:r>
      <w:proofErr w:type="spellEnd"/>
      <w:r w:rsidRPr="7FA612EF">
        <w:rPr>
          <w:rFonts w:ascii="Verdana" w:eastAsia="Verdana" w:hAnsi="Verdana"/>
          <w:lang w:val="en-US"/>
        </w:rPr>
        <w:t xml:space="preserve"> in a more nuanced way, and we spend a fair amount of time helping them think through when an unscored route makes sense and when the visibility and comparability of a score still </w:t>
      </w:r>
      <w:proofErr w:type="gramStart"/>
      <w:r w:rsidRPr="7FA612EF">
        <w:rPr>
          <w:rFonts w:ascii="Verdana" w:eastAsia="Verdana" w:hAnsi="Verdana"/>
          <w:lang w:val="en-US"/>
        </w:rPr>
        <w:t>adds</w:t>
      </w:r>
      <w:proofErr w:type="gramEnd"/>
      <w:r w:rsidRPr="7FA612EF">
        <w:rPr>
          <w:rFonts w:ascii="Verdana" w:eastAsia="Verdana" w:hAnsi="Verdana"/>
          <w:lang w:val="en-US"/>
        </w:rPr>
        <w:t xml:space="preserve"> value.</w:t>
      </w:r>
    </w:p>
    <w:p w14:paraId="1558A8C5" w14:textId="77777777" w:rsidR="00372959" w:rsidRDefault="00372959" w:rsidP="54907166">
      <w:pPr>
        <w:pStyle w:val="NumberedText"/>
        <w:numPr>
          <w:ilvl w:val="0"/>
          <w:numId w:val="0"/>
        </w:numPr>
        <w:ind w:left="397"/>
      </w:pPr>
    </w:p>
    <w:p w14:paraId="37BA48D2" w14:textId="17FD8DAE" w:rsidR="54907166" w:rsidRDefault="54907166" w:rsidP="54907166">
      <w:pPr>
        <w:pStyle w:val="NumberedText"/>
        <w:numPr>
          <w:ilvl w:val="0"/>
          <w:numId w:val="0"/>
        </w:numPr>
        <w:ind w:left="397"/>
        <w:rPr>
          <w:rFonts w:ascii="Verdana" w:eastAsia="Verdana" w:hAnsi="Verdana"/>
          <w:szCs w:val="20"/>
        </w:rPr>
      </w:pPr>
    </w:p>
    <w:p w14:paraId="3C2F6D3E" w14:textId="3C9EB827" w:rsidR="5F9D114F" w:rsidRDefault="5F9D114F" w:rsidP="54907166">
      <w:pPr>
        <w:pStyle w:val="NumberedText"/>
        <w:rPr>
          <w:rFonts w:ascii="Verdana" w:eastAsia="Verdana" w:hAnsi="Verdana"/>
          <w:b/>
          <w:bCs/>
          <w:szCs w:val="20"/>
        </w:rPr>
      </w:pPr>
      <w:r w:rsidRPr="54907166">
        <w:rPr>
          <w:rFonts w:ascii="Verdana" w:eastAsia="Verdana" w:hAnsi="Verdana"/>
          <w:b/>
          <w:bCs/>
          <w:szCs w:val="20"/>
        </w:rPr>
        <w:lastRenderedPageBreak/>
        <w:t>CDP's data serves multiple stakeholder groups</w:t>
      </w:r>
      <w:r w:rsidR="00014FAC">
        <w:rPr>
          <w:rFonts w:ascii="Verdana" w:eastAsia="Verdana" w:hAnsi="Verdana"/>
          <w:b/>
          <w:bCs/>
          <w:szCs w:val="20"/>
        </w:rPr>
        <w:t>,</w:t>
      </w:r>
      <w:r w:rsidRPr="54907166">
        <w:rPr>
          <w:rFonts w:ascii="Verdana" w:eastAsia="Verdana" w:hAnsi="Verdana"/>
          <w:b/>
          <w:bCs/>
          <w:szCs w:val="20"/>
        </w:rPr>
        <w:t xml:space="preserve"> including customers and investors. What can you share about the use of CDP's data among these groups? Have you noticed any changes in 2026?</w:t>
      </w:r>
    </w:p>
    <w:p w14:paraId="60000ACC" w14:textId="5D383822" w:rsidR="5F9D114F" w:rsidRDefault="5F9D114F" w:rsidP="7FA612EF">
      <w:pPr>
        <w:pStyle w:val="NumberedText"/>
        <w:numPr>
          <w:ilvl w:val="0"/>
          <w:numId w:val="0"/>
        </w:numPr>
        <w:ind w:left="397"/>
        <w:rPr>
          <w:rFonts w:ascii="Verdana" w:eastAsia="Verdana" w:hAnsi="Verdana"/>
          <w:lang w:val="en-US"/>
        </w:rPr>
      </w:pPr>
      <w:r w:rsidRPr="7FA612EF">
        <w:rPr>
          <w:rFonts w:ascii="Verdana" w:eastAsia="Verdana" w:hAnsi="Verdana"/>
          <w:lang w:val="en-US"/>
        </w:rPr>
        <w:t>On the customer side, CDP data is increasingly embedded in day</w:t>
      </w:r>
      <w:r>
        <w:noBreakHyphen/>
      </w:r>
      <w:r w:rsidRPr="7FA612EF">
        <w:rPr>
          <w:rFonts w:ascii="Verdana" w:eastAsia="Verdana" w:hAnsi="Verdana"/>
          <w:lang w:val="en-US"/>
        </w:rPr>
        <w:t>to</w:t>
      </w:r>
      <w:r>
        <w:noBreakHyphen/>
      </w:r>
      <w:r w:rsidRPr="7FA612EF">
        <w:rPr>
          <w:rFonts w:ascii="Verdana" w:eastAsia="Verdana" w:hAnsi="Verdana"/>
          <w:lang w:val="en-US"/>
        </w:rPr>
        <w:t>day supplier management and engagement, rather than sitting off to one side as a standalone sustainability questionnaire. Large buyers are using it to understand risk concentrations across their value chains, to prioritize where to focus engagement, and to track progress over time across climate and, increasingly, broader nature topics. For financial institutions, there is a clear split between those who primarily look at the score as an easy entry point and those</w:t>
      </w:r>
      <w:r w:rsidR="00CC7BF7" w:rsidRPr="7FA612EF">
        <w:rPr>
          <w:rFonts w:ascii="Verdana" w:eastAsia="Verdana" w:hAnsi="Verdana"/>
          <w:lang w:val="en-US"/>
        </w:rPr>
        <w:t xml:space="preserve"> (</w:t>
      </w:r>
      <w:r w:rsidRPr="7FA612EF">
        <w:rPr>
          <w:rFonts w:ascii="Verdana" w:eastAsia="Verdana" w:hAnsi="Verdana"/>
          <w:lang w:val="en-US"/>
        </w:rPr>
        <w:t>often the larger or more data</w:t>
      </w:r>
      <w:r>
        <w:noBreakHyphen/>
      </w:r>
      <w:r w:rsidRPr="7FA612EF">
        <w:rPr>
          <w:rFonts w:ascii="Verdana" w:eastAsia="Verdana" w:hAnsi="Verdana"/>
          <w:lang w:val="en-US"/>
        </w:rPr>
        <w:t>mature players</w:t>
      </w:r>
      <w:r w:rsidR="00CC7BF7" w:rsidRPr="7FA612EF">
        <w:rPr>
          <w:rFonts w:ascii="Verdana" w:eastAsia="Verdana" w:hAnsi="Verdana"/>
          <w:lang w:val="en-US"/>
        </w:rPr>
        <w:t xml:space="preserve">) </w:t>
      </w:r>
      <w:r w:rsidRPr="7FA612EF">
        <w:rPr>
          <w:rFonts w:ascii="Verdana" w:eastAsia="Verdana" w:hAnsi="Verdana"/>
          <w:lang w:val="en-US"/>
        </w:rPr>
        <w:t>who ingest the full CDP dataset and apply their own methodologies. That shift toward deeper integration means the structure, consistency</w:t>
      </w:r>
      <w:r w:rsidR="00014FAC">
        <w:rPr>
          <w:rFonts w:ascii="Verdana" w:eastAsia="Verdana" w:hAnsi="Verdana"/>
          <w:lang w:val="en-US"/>
        </w:rPr>
        <w:t>,</w:t>
      </w:r>
      <w:r w:rsidRPr="7FA612EF">
        <w:rPr>
          <w:rFonts w:ascii="Verdana" w:eastAsia="Verdana" w:hAnsi="Verdana"/>
          <w:lang w:val="en-US"/>
        </w:rPr>
        <w:t xml:space="preserve"> and coverage of the underlying responses are becoming just as important as the headline grades, which is influencing how we design and evolve the disclosure system.</w:t>
      </w:r>
    </w:p>
    <w:p w14:paraId="6262EC4E" w14:textId="5E01B4EB" w:rsidR="54907166" w:rsidRDefault="54907166" w:rsidP="54907166">
      <w:pPr>
        <w:pStyle w:val="NumberedText"/>
        <w:numPr>
          <w:ilvl w:val="0"/>
          <w:numId w:val="0"/>
        </w:numPr>
        <w:ind w:left="397"/>
        <w:rPr>
          <w:rFonts w:ascii="Verdana" w:eastAsia="Verdana" w:hAnsi="Verdana"/>
          <w:szCs w:val="20"/>
        </w:rPr>
      </w:pPr>
    </w:p>
    <w:p w14:paraId="43F5256F" w14:textId="5DC27B03" w:rsidR="226633A2" w:rsidRDefault="226633A2" w:rsidP="54907166">
      <w:pPr>
        <w:pStyle w:val="NumberedText"/>
        <w:rPr>
          <w:b/>
          <w:bCs/>
          <w:color w:val="27251E"/>
        </w:rPr>
      </w:pPr>
      <w:r w:rsidRPr="54907166">
        <w:rPr>
          <w:b/>
          <w:bCs/>
          <w:color w:val="27251E"/>
        </w:rPr>
        <w:t>The ESG landscape continues to evolve, sometimes under pressure. How does CDP assess what is happening, and how is CDP adapting?</w:t>
      </w:r>
    </w:p>
    <w:p w14:paraId="4B08DB93" w14:textId="359CC7CA" w:rsidR="226633A2" w:rsidRDefault="226633A2" w:rsidP="7FA612EF">
      <w:pPr>
        <w:pStyle w:val="NumberedText"/>
        <w:numPr>
          <w:ilvl w:val="0"/>
          <w:numId w:val="0"/>
        </w:numPr>
        <w:ind w:left="397"/>
        <w:rPr>
          <w:color w:val="27251E"/>
          <w:lang w:val="en-US"/>
        </w:rPr>
      </w:pPr>
      <w:r w:rsidRPr="7FA612EF">
        <w:rPr>
          <w:color w:val="27251E"/>
          <w:lang w:val="en-US"/>
        </w:rPr>
        <w:t>From CDP’s perspective, a lot of the work right now is about using real disclosure data to ground what can otherwise feel like a very noisy ESG debate. Our policy teams are in ongoing conversations with standard setters and regulators around the world, and a big part of that engagement is mapping existing CDP questions and responses against emerging frameworks to advocate for interoperability and to show what companies are already doing in practice. That creates a data</w:t>
      </w:r>
      <w:r>
        <w:noBreakHyphen/>
      </w:r>
      <w:r w:rsidRPr="7FA612EF">
        <w:rPr>
          <w:color w:val="27251E"/>
          <w:lang w:val="en-US"/>
        </w:rPr>
        <w:t>informed basis for discussions in places like the UK, Europe, APAC</w:t>
      </w:r>
      <w:r w:rsidR="7D269915" w:rsidRPr="4B3325DE">
        <w:rPr>
          <w:color w:val="27251E"/>
          <w:lang w:val="en-US"/>
        </w:rPr>
        <w:t>,</w:t>
      </w:r>
      <w:r w:rsidRPr="7FA612EF">
        <w:rPr>
          <w:color w:val="27251E"/>
          <w:lang w:val="en-US"/>
        </w:rPr>
        <w:t xml:space="preserve"> and the Americas, and it also helps identify where genuine gaps remain so that we can update our question bank and </w:t>
      </w:r>
      <w:proofErr w:type="gramStart"/>
      <w:r w:rsidRPr="7FA612EF">
        <w:rPr>
          <w:color w:val="27251E"/>
          <w:lang w:val="en-US"/>
        </w:rPr>
        <w:t>guidance</w:t>
      </w:r>
      <w:proofErr w:type="gramEnd"/>
      <w:r w:rsidRPr="7FA612EF">
        <w:rPr>
          <w:color w:val="27251E"/>
          <w:lang w:val="en-US"/>
        </w:rPr>
        <w:t xml:space="preserve"> in a targeted way.</w:t>
      </w:r>
    </w:p>
    <w:p w14:paraId="244F989D" w14:textId="143421E1" w:rsidR="226633A2" w:rsidRDefault="226633A2" w:rsidP="7FA612EF">
      <w:pPr>
        <w:pStyle w:val="NumberedText"/>
        <w:numPr>
          <w:ilvl w:val="0"/>
          <w:numId w:val="0"/>
        </w:numPr>
        <w:ind w:left="397"/>
        <w:rPr>
          <w:color w:val="27251E"/>
          <w:lang w:val="en-US"/>
        </w:rPr>
      </w:pPr>
      <w:r w:rsidRPr="7FA612EF">
        <w:rPr>
          <w:color w:val="27251E"/>
          <w:lang w:val="en-US"/>
        </w:rPr>
        <w:t>At the same time, we see growing recognition that the conversation has shifted from pure mitigation to a dual focus on adaptation and resilience, especially as physical risks and their financial impacts become more visible. That is pushing us to look harder at the parts of the questionnaire that already capture business strategy, risk management</w:t>
      </w:r>
      <w:r w:rsidR="00801808">
        <w:rPr>
          <w:color w:val="27251E"/>
          <w:lang w:val="en-US"/>
        </w:rPr>
        <w:t>,</w:t>
      </w:r>
      <w:r w:rsidRPr="7FA612EF">
        <w:rPr>
          <w:color w:val="27251E"/>
          <w:lang w:val="en-US"/>
        </w:rPr>
        <w:t xml:space="preserve"> and financial resilience, and to make those insights more usable for both regulators and market participants. We are also starting to explore the “untapped potential” of combining corporate disclosure data with the information CDP collects from cities, states</w:t>
      </w:r>
      <w:r w:rsidR="00801808">
        <w:rPr>
          <w:color w:val="27251E"/>
          <w:lang w:val="en-US"/>
        </w:rPr>
        <w:t>,</w:t>
      </w:r>
      <w:r w:rsidRPr="7FA612EF">
        <w:rPr>
          <w:color w:val="27251E"/>
          <w:lang w:val="en-US"/>
        </w:rPr>
        <w:t xml:space="preserve"> and regions—using, for example, jurisdiction</w:t>
      </w:r>
      <w:r>
        <w:noBreakHyphen/>
      </w:r>
      <w:r w:rsidRPr="7FA612EF">
        <w:rPr>
          <w:color w:val="27251E"/>
          <w:lang w:val="en-US"/>
        </w:rPr>
        <w:t>level climate and water vulnerability data to better understand the context in which companies are operating and how that affects their own resilience.</w:t>
      </w:r>
    </w:p>
    <w:p w14:paraId="27621071" w14:textId="717B0FAA" w:rsidR="54907166" w:rsidRDefault="54907166" w:rsidP="54907166">
      <w:pPr>
        <w:pStyle w:val="NumberedText"/>
        <w:numPr>
          <w:ilvl w:val="0"/>
          <w:numId w:val="0"/>
        </w:numPr>
        <w:ind w:left="397"/>
        <w:rPr>
          <w:color w:val="27251E"/>
        </w:rPr>
      </w:pPr>
    </w:p>
    <w:p w14:paraId="66A9B1F8" w14:textId="6213F22E" w:rsidR="226633A2" w:rsidRDefault="226633A2" w:rsidP="7FA612EF">
      <w:pPr>
        <w:pStyle w:val="NumberedText"/>
        <w:rPr>
          <w:b/>
          <w:bCs/>
          <w:color w:val="27251E"/>
          <w:lang w:val="en-US"/>
        </w:rPr>
      </w:pPr>
      <w:r w:rsidRPr="7FA612EF">
        <w:rPr>
          <w:b/>
          <w:bCs/>
          <w:color w:val="27251E"/>
          <w:lang w:val="en-US"/>
        </w:rPr>
        <w:t>What is in store for CDP for the rest of this decade? What’s most important about how you expect to evolve?</w:t>
      </w:r>
    </w:p>
    <w:p w14:paraId="68F25C29" w14:textId="58E8C737" w:rsidR="226633A2" w:rsidRDefault="226633A2" w:rsidP="7FA612EF">
      <w:pPr>
        <w:pStyle w:val="NumberedText"/>
        <w:numPr>
          <w:ilvl w:val="0"/>
          <w:numId w:val="0"/>
        </w:numPr>
        <w:spacing w:before="120" w:after="120"/>
        <w:ind w:left="397"/>
        <w:rPr>
          <w:rFonts w:eastAsiaTheme="minorEastAsia" w:cstheme="minorBidi"/>
          <w:color w:val="27251E"/>
          <w:lang w:val="en-US"/>
        </w:rPr>
      </w:pPr>
      <w:r w:rsidRPr="7FA612EF">
        <w:rPr>
          <w:rFonts w:eastAsiaTheme="minorEastAsia" w:cstheme="minorBidi"/>
          <w:color w:val="27251E"/>
          <w:lang w:val="en-US"/>
        </w:rPr>
        <w:t xml:space="preserve">Looking ahead, the </w:t>
      </w:r>
      <w:r w:rsidR="6B573B0E" w:rsidRPr="30B6A1BA">
        <w:rPr>
          <w:rFonts w:eastAsiaTheme="minorEastAsia" w:cstheme="minorBidi"/>
          <w:color w:val="27251E"/>
          <w:lang w:val="en-US"/>
        </w:rPr>
        <w:t>throughline</w:t>
      </w:r>
      <w:r w:rsidRPr="7FA612EF">
        <w:rPr>
          <w:rFonts w:eastAsiaTheme="minorEastAsia" w:cstheme="minorBidi"/>
          <w:color w:val="27251E"/>
          <w:lang w:val="en-US"/>
        </w:rPr>
        <w:t xml:space="preserve"> for CDP is not a single new initiative, but a shift toward making disclosure data more dense, more usable</w:t>
      </w:r>
      <w:r w:rsidR="00801808">
        <w:rPr>
          <w:rFonts w:eastAsiaTheme="minorEastAsia" w:cstheme="minorBidi"/>
          <w:color w:val="27251E"/>
          <w:lang w:val="en-US"/>
        </w:rPr>
        <w:t>,</w:t>
      </w:r>
      <w:r w:rsidRPr="7FA612EF">
        <w:rPr>
          <w:rFonts w:eastAsiaTheme="minorEastAsia" w:cstheme="minorBidi"/>
          <w:color w:val="27251E"/>
          <w:lang w:val="en-US"/>
        </w:rPr>
        <w:t xml:space="preserve"> and more broadly representative across markets. On one side, that means deepening the content where data users need it most—such as more product</w:t>
      </w:r>
      <w:r>
        <w:noBreakHyphen/>
      </w:r>
      <w:r w:rsidRPr="7FA612EF">
        <w:rPr>
          <w:rFonts w:eastAsiaTheme="minorEastAsia" w:cstheme="minorBidi"/>
          <w:color w:val="27251E"/>
          <w:lang w:val="en-US"/>
        </w:rPr>
        <w:t>level detail in certain sectors, or richer nature</w:t>
      </w:r>
      <w:r>
        <w:noBreakHyphen/>
      </w:r>
      <w:r w:rsidRPr="7FA612EF">
        <w:rPr>
          <w:rFonts w:eastAsiaTheme="minorEastAsia" w:cstheme="minorBidi"/>
          <w:color w:val="27251E"/>
          <w:lang w:val="en-US"/>
        </w:rPr>
        <w:t>related information now that CDP covers atmosphere, freshwater, land</w:t>
      </w:r>
      <w:r w:rsidR="022C18E8" w:rsidRPr="30D41C72">
        <w:rPr>
          <w:rFonts w:eastAsiaTheme="minorEastAsia" w:cstheme="minorBidi"/>
          <w:color w:val="27251E"/>
          <w:lang w:val="en-US"/>
        </w:rPr>
        <w:t>,</w:t>
      </w:r>
      <w:r w:rsidRPr="7FA612EF">
        <w:rPr>
          <w:rFonts w:eastAsiaTheme="minorEastAsia" w:cstheme="minorBidi"/>
          <w:color w:val="27251E"/>
          <w:lang w:val="en-US"/>
        </w:rPr>
        <w:t xml:space="preserve"> and oceans in line with TNFD. On the other, it means expanding the coverage of who is disclosing, with a particular emphasis on SMEs, </w:t>
      </w:r>
      <w:r w:rsidRPr="7FA612EF">
        <w:rPr>
          <w:rFonts w:eastAsiaTheme="minorEastAsia" w:cstheme="minorBidi"/>
          <w:color w:val="27251E"/>
          <w:lang w:val="en-US"/>
        </w:rPr>
        <w:lastRenderedPageBreak/>
        <w:t>private companies</w:t>
      </w:r>
      <w:r w:rsidR="5366A621" w:rsidRPr="2721C35A">
        <w:rPr>
          <w:rFonts w:eastAsiaTheme="minorEastAsia" w:cstheme="minorBidi"/>
          <w:color w:val="27251E"/>
          <w:lang w:val="en-US"/>
        </w:rPr>
        <w:t>,</w:t>
      </w:r>
      <w:r w:rsidRPr="7FA612EF">
        <w:rPr>
          <w:rFonts w:eastAsiaTheme="minorEastAsia" w:cstheme="minorBidi"/>
          <w:color w:val="27251E"/>
          <w:lang w:val="en-US"/>
        </w:rPr>
        <w:t xml:space="preserve"> and organizations in underserved regions like Latin America and parts of APAC, often in partnership with local regulators, financial institutions</w:t>
      </w:r>
      <w:r w:rsidR="6563E283" w:rsidRPr="24206C4D">
        <w:rPr>
          <w:rFonts w:eastAsiaTheme="minorEastAsia" w:cstheme="minorBidi"/>
          <w:color w:val="27251E"/>
          <w:lang w:val="en-US"/>
        </w:rPr>
        <w:t>,</w:t>
      </w:r>
      <w:r w:rsidRPr="7FA612EF">
        <w:rPr>
          <w:rFonts w:eastAsiaTheme="minorEastAsia" w:cstheme="minorBidi"/>
          <w:color w:val="27251E"/>
          <w:lang w:val="en-US"/>
        </w:rPr>
        <w:t xml:space="preserve"> and standard setters.</w:t>
      </w:r>
    </w:p>
    <w:p w14:paraId="2C8D4550" w14:textId="057CECF9" w:rsidR="226633A2" w:rsidRDefault="226633A2">
      <w:pPr>
        <w:pStyle w:val="NumberedText"/>
        <w:numPr>
          <w:ilvl w:val="0"/>
          <w:numId w:val="0"/>
        </w:numPr>
        <w:spacing w:before="240" w:after="120"/>
        <w:rPr>
          <w:rFonts w:eastAsiaTheme="minorEastAsia" w:cstheme="minorBidi"/>
          <w:color w:val="27251E"/>
          <w:lang w:val="en-US"/>
        </w:rPr>
      </w:pPr>
      <w:r w:rsidRPr="7FA612EF">
        <w:rPr>
          <w:rFonts w:eastAsiaTheme="minorEastAsia" w:cstheme="minorBidi"/>
          <w:color w:val="27251E"/>
          <w:lang w:val="en-US"/>
        </w:rPr>
        <w:t xml:space="preserve">We also see a </w:t>
      </w:r>
      <w:r w:rsidR="7914CF51" w:rsidRPr="5A20B5CB">
        <w:rPr>
          <w:rFonts w:eastAsiaTheme="minorEastAsia" w:cstheme="minorBidi"/>
          <w:color w:val="27251E"/>
          <w:lang w:val="en-US"/>
        </w:rPr>
        <w:t>long-</w:t>
      </w:r>
      <w:r w:rsidRPr="7FA612EF">
        <w:rPr>
          <w:rFonts w:eastAsiaTheme="minorEastAsia" w:cstheme="minorBidi"/>
          <w:color w:val="27251E"/>
          <w:lang w:val="en-US"/>
        </w:rPr>
        <w:t>term</w:t>
      </w:r>
      <w:r w:rsidRPr="7FA612EF">
        <w:rPr>
          <w:rFonts w:eastAsiaTheme="minorEastAsia" w:cstheme="minorBidi"/>
          <w:color w:val="27251E"/>
          <w:lang w:val="en-US"/>
        </w:rPr>
        <w:t xml:space="preserve"> opportunity in better connecting the different data sets CDP already holds so that companies can benefit more directly from them. For example, the data cities and regions submit about environmental vulnerability, infrastructure gaps</w:t>
      </w:r>
      <w:r w:rsidR="008546B7" w:rsidRPr="3CE6D2F1">
        <w:rPr>
          <w:rFonts w:eastAsiaTheme="minorEastAsia" w:cstheme="minorBidi"/>
          <w:color w:val="27251E"/>
          <w:lang w:val="en-US"/>
        </w:rPr>
        <w:t>,</w:t>
      </w:r>
      <w:r w:rsidRPr="7FA612EF">
        <w:rPr>
          <w:rFonts w:eastAsiaTheme="minorEastAsia" w:cstheme="minorBidi"/>
          <w:color w:val="27251E"/>
          <w:lang w:val="en-US"/>
        </w:rPr>
        <w:t xml:space="preserve"> and planned mitigation or adaptation projects is already being used by actors like </w:t>
      </w:r>
      <w:proofErr w:type="spellStart"/>
      <w:r w:rsidRPr="7FA612EF">
        <w:rPr>
          <w:rFonts w:eastAsiaTheme="minorEastAsia" w:cstheme="minorBidi"/>
          <w:color w:val="27251E"/>
          <w:lang w:val="en-US"/>
        </w:rPr>
        <w:t>BloombergNEF</w:t>
      </w:r>
      <w:proofErr w:type="spellEnd"/>
      <w:r w:rsidRPr="7FA612EF">
        <w:rPr>
          <w:rFonts w:eastAsiaTheme="minorEastAsia" w:cstheme="minorBidi"/>
          <w:color w:val="27251E"/>
          <w:lang w:val="en-US"/>
        </w:rPr>
        <w:t xml:space="preserve"> to build country</w:t>
      </w:r>
      <w:r>
        <w:noBreakHyphen/>
      </w:r>
      <w:r w:rsidRPr="7FA612EF">
        <w:rPr>
          <w:rFonts w:eastAsiaTheme="minorEastAsia" w:cstheme="minorBidi"/>
          <w:color w:val="27251E"/>
          <w:lang w:val="en-US"/>
        </w:rPr>
        <w:t xml:space="preserve">level adaptation scorecards, which in turn shape views of how resilient </w:t>
      </w:r>
      <w:r w:rsidR="3374AF6C" w:rsidRPr="1C99E591">
        <w:rPr>
          <w:rFonts w:eastAsiaTheme="minorEastAsia" w:cstheme="minorBidi"/>
          <w:color w:val="27251E"/>
          <w:lang w:val="en-US"/>
        </w:rPr>
        <w:t xml:space="preserve">different </w:t>
      </w:r>
      <w:r w:rsidR="3374AF6C" w:rsidRPr="40F57AC8">
        <w:rPr>
          <w:rFonts w:eastAsiaTheme="minorEastAsia" w:cstheme="minorBidi"/>
          <w:color w:val="27251E"/>
          <w:lang w:val="en-US"/>
        </w:rPr>
        <w:t xml:space="preserve">regions will be for </w:t>
      </w:r>
      <w:r w:rsidRPr="1C99E591">
        <w:rPr>
          <w:rFonts w:eastAsiaTheme="minorEastAsia" w:cstheme="minorBidi"/>
          <w:color w:val="27251E"/>
          <w:lang w:val="en-US"/>
        </w:rPr>
        <w:t>companies</w:t>
      </w:r>
      <w:r w:rsidRPr="7FA612EF">
        <w:rPr>
          <w:rFonts w:eastAsiaTheme="minorEastAsia" w:cstheme="minorBidi"/>
          <w:color w:val="27251E"/>
          <w:lang w:val="en-US"/>
        </w:rPr>
        <w:t xml:space="preserve"> </w:t>
      </w:r>
      <w:r w:rsidR="027B32F6" w:rsidRPr="4B88380E">
        <w:rPr>
          <w:rFonts w:eastAsiaTheme="minorEastAsia" w:cstheme="minorBidi"/>
          <w:color w:val="27251E"/>
          <w:lang w:val="en-US"/>
        </w:rPr>
        <w:t>that</w:t>
      </w:r>
      <w:r w:rsidRPr="7FA612EF">
        <w:rPr>
          <w:rFonts w:eastAsiaTheme="minorEastAsia" w:cstheme="minorBidi"/>
          <w:color w:val="27251E"/>
          <w:lang w:val="en-US"/>
        </w:rPr>
        <w:t xml:space="preserve"> operate in those jurisdictions. CDP’s role over the rest of the decade is increasingly to facilitate those kinds of linkages—between corporate data and sub</w:t>
      </w:r>
      <w:r>
        <w:noBreakHyphen/>
      </w:r>
      <w:r w:rsidRPr="7FA612EF">
        <w:rPr>
          <w:rFonts w:eastAsiaTheme="minorEastAsia" w:cstheme="minorBidi"/>
          <w:color w:val="27251E"/>
          <w:lang w:val="en-US"/>
        </w:rPr>
        <w:t>national data, between mitigation and adaptation, and between disclosure and financial decision</w:t>
      </w:r>
      <w:r>
        <w:noBreakHyphen/>
      </w:r>
      <w:r w:rsidRPr="7FA612EF">
        <w:rPr>
          <w:rFonts w:eastAsiaTheme="minorEastAsia" w:cstheme="minorBidi"/>
          <w:color w:val="27251E"/>
          <w:lang w:val="en-US"/>
        </w:rPr>
        <w:t>making—so that all the effort companies put into CDP translates into clearer, more actionable insights for themselves as well as for external stakeholders.</w:t>
      </w:r>
    </w:p>
    <w:p w14:paraId="38B8AF66" w14:textId="5F275C6F" w:rsidR="00626744" w:rsidRPr="001F69EA" w:rsidRDefault="00626744" w:rsidP="45C81F2E">
      <w:pPr>
        <w:pStyle w:val="BodyText"/>
      </w:pPr>
    </w:p>
    <w:p w14:paraId="19CA3AF1" w14:textId="0921807E" w:rsidR="39AE788C" w:rsidRDefault="004F4F3E" w:rsidP="45C81F2E">
      <w:pPr>
        <w:pStyle w:val="Heading1"/>
      </w:pPr>
      <w:r>
        <w:t>Member-only</w:t>
      </w:r>
      <w:r w:rsidR="268D3534">
        <w:t xml:space="preserve"> session</w:t>
      </w:r>
    </w:p>
    <w:p w14:paraId="493114C3" w14:textId="797EDC78" w:rsidR="06AF6992" w:rsidRDefault="50415919" w:rsidP="356B5722">
      <w:pPr>
        <w:pStyle w:val="Heading1"/>
      </w:pPr>
      <w:r>
        <w:t>Cdp DEBRIEF</w:t>
      </w:r>
    </w:p>
    <w:p w14:paraId="55547E19" w14:textId="69A0C70F" w:rsidR="007252BD" w:rsidRDefault="35715045" w:rsidP="005A33D9">
      <w:pPr>
        <w:pStyle w:val="BodyText"/>
        <w:numPr>
          <w:ilvl w:val="0"/>
          <w:numId w:val="4"/>
        </w:numPr>
      </w:pPr>
      <w:r>
        <w:t>Catherine encouraged members to review regional alignment as a “homework” item and then highlighted Radhika’s comments about “green shoots” in how preparers reuse CDP preparation and content for regulation readiness and other stakeholders.</w:t>
      </w:r>
    </w:p>
    <w:p w14:paraId="14F6FC8C" w14:textId="69900E1A" w:rsidR="35715045" w:rsidRDefault="35715045" w:rsidP="54907166">
      <w:pPr>
        <w:pStyle w:val="BodyText"/>
        <w:numPr>
          <w:ilvl w:val="0"/>
          <w:numId w:val="4"/>
        </w:numPr>
      </w:pPr>
      <w:r>
        <w:t xml:space="preserve">One member responded that, in their case, CDP data is heavily used by </w:t>
      </w:r>
      <w:r w:rsidR="00291B47">
        <w:t xml:space="preserve">their </w:t>
      </w:r>
      <w:r>
        <w:t xml:space="preserve">customers, and that </w:t>
      </w:r>
      <w:r w:rsidR="39F3CBE4">
        <w:t xml:space="preserve">such </w:t>
      </w:r>
      <w:r>
        <w:t>customer use can be even more significant than investor use in the US.</w:t>
      </w:r>
    </w:p>
    <w:p w14:paraId="4F33EBA9" w14:textId="20CAEA05" w:rsidR="005A33D9" w:rsidRDefault="005A33D9" w:rsidP="54907166">
      <w:pPr>
        <w:pStyle w:val="BodyText"/>
        <w:numPr>
          <w:ilvl w:val="0"/>
          <w:numId w:val="4"/>
        </w:numPr>
      </w:pPr>
      <w:r>
        <w:t xml:space="preserve">Members asked if </w:t>
      </w:r>
      <w:r w:rsidR="00C86CCF">
        <w:t>the plastics module will be scored in 2026 – we confirmed that it will not be scored.</w:t>
      </w:r>
    </w:p>
    <w:p w14:paraId="45488340" w14:textId="01764734" w:rsidR="39AE788C" w:rsidRPr="001F69EA" w:rsidRDefault="39AE788C" w:rsidP="45C81F2E">
      <w:pPr>
        <w:pStyle w:val="Heading1"/>
      </w:pPr>
      <w:r>
        <w:t>Current events</w:t>
      </w:r>
    </w:p>
    <w:p w14:paraId="1FBD02BA" w14:textId="37F98DF4" w:rsidR="7C022B9A" w:rsidRDefault="7C022B9A" w:rsidP="54907166">
      <w:pPr>
        <w:pStyle w:val="BodyText"/>
        <w:rPr>
          <w:rFonts w:ascii="Verdana" w:hAnsi="Verdana"/>
          <w:szCs w:val="20"/>
        </w:rPr>
      </w:pPr>
      <w:r w:rsidRPr="54907166">
        <w:rPr>
          <w:rFonts w:ascii="Verdana" w:hAnsi="Verdana"/>
          <w:b/>
          <w:bCs/>
          <w:szCs w:val="20"/>
        </w:rPr>
        <w:t>Companies are largely staying the course on disclosure</w:t>
      </w:r>
    </w:p>
    <w:p w14:paraId="19DAB7B7" w14:textId="3DBF2019" w:rsidR="7C022B9A" w:rsidRDefault="7C022B9A" w:rsidP="54907166">
      <w:pPr>
        <w:pStyle w:val="BodyText"/>
        <w:numPr>
          <w:ilvl w:val="0"/>
          <w:numId w:val="3"/>
        </w:numPr>
        <w:rPr>
          <w:rFonts w:ascii="Verdana" w:hAnsi="Verdana"/>
        </w:rPr>
      </w:pPr>
      <w:hyperlink r:id="rId14" w:anchor=":~:text=PwC%20%2D%20ESG%20Today-,82%25%20of%20Companies%20Maintaining%20or%20Accelerating%20Climate%20Goals%2C%20as%20Decarbonization,Extend%20to%20Supply%20Chain%3A%20PwC">
        <w:r w:rsidRPr="4DE40C54">
          <w:rPr>
            <w:rStyle w:val="Hyperlink"/>
            <w:rFonts w:ascii="Verdana" w:hAnsi="Verdana"/>
          </w:rPr>
          <w:t>82% of Companies Maintaining or Accelerating Climate Goals, as Decarbonization Efforts Extend to Supply Chain, according to new PwC report(April 2026)</w:t>
        </w:r>
      </w:hyperlink>
      <w:r w:rsidRPr="4DE40C54">
        <w:rPr>
          <w:rFonts w:ascii="Verdana" w:hAnsi="Verdana"/>
        </w:rPr>
        <w:t xml:space="preserve">: PwC’s latest State of Decarbonization report finds that around 82% of companies are maintaining or accelerating their climate goals, with roughly </w:t>
      </w:r>
      <w:r w:rsidR="39229011" w:rsidRPr="4DE40C54">
        <w:rPr>
          <w:rFonts w:ascii="Verdana" w:hAnsi="Verdana"/>
        </w:rPr>
        <w:t>two thirds</w:t>
      </w:r>
      <w:r w:rsidRPr="4DE40C54">
        <w:rPr>
          <w:rFonts w:ascii="Verdana" w:hAnsi="Verdana"/>
        </w:rPr>
        <w:t xml:space="preserve"> now on track for Scope 1 and 2 targets and decarbonization and supplier</w:t>
      </w:r>
      <w:r>
        <w:noBreakHyphen/>
      </w:r>
      <w:r w:rsidRPr="4DE40C54">
        <w:rPr>
          <w:rFonts w:ascii="Verdana" w:hAnsi="Verdana"/>
        </w:rPr>
        <w:t>engagement programs scaling up across value chains. The study also notes that while 60% of companies report using AI for decarbonization, very few currently quantify emissions reductions from those AI initiatives, based on analysis of 3,547 companies drawing on CDP, SBTi, S&amp;P Capital IQ</w:t>
      </w:r>
      <w:r w:rsidR="17C16D36" w:rsidRPr="44FD2B3B">
        <w:rPr>
          <w:rFonts w:ascii="Verdana" w:hAnsi="Verdana"/>
        </w:rPr>
        <w:t>,</w:t>
      </w:r>
      <w:r w:rsidRPr="4DE40C54">
        <w:rPr>
          <w:rFonts w:ascii="Verdana" w:hAnsi="Verdana"/>
        </w:rPr>
        <w:t xml:space="preserve"> and other public data.</w:t>
      </w:r>
    </w:p>
    <w:p w14:paraId="1813F79F" w14:textId="6AAC1D2F" w:rsidR="7C022B9A" w:rsidRDefault="7C022B9A" w:rsidP="54907166">
      <w:pPr>
        <w:pStyle w:val="BodyText"/>
        <w:numPr>
          <w:ilvl w:val="0"/>
          <w:numId w:val="3"/>
        </w:numPr>
        <w:rPr>
          <w:rFonts w:ascii="Verdana" w:hAnsi="Verdana"/>
        </w:rPr>
      </w:pPr>
      <w:hyperlink r:id="rId15" w:anchor="study">
        <w:r w:rsidRPr="0173E3E5">
          <w:rPr>
            <w:rStyle w:val="Hyperlink"/>
            <w:rFonts w:ascii="Verdana" w:hAnsi="Verdana"/>
          </w:rPr>
          <w:t>90% of Companies No Longer In CSRD Scope Plan To Maintain, Expand Sustainability Report</w:t>
        </w:r>
        <w:r w:rsidR="11CD4B5E" w:rsidRPr="0173E3E5">
          <w:rPr>
            <w:rStyle w:val="Hyperlink"/>
            <w:rFonts w:ascii="Verdana" w:hAnsi="Verdana"/>
          </w:rPr>
          <w:t>ing</w:t>
        </w:r>
        <w:r w:rsidRPr="0173E3E5">
          <w:rPr>
            <w:rStyle w:val="Hyperlink"/>
            <w:rFonts w:ascii="Verdana" w:hAnsi="Verdana"/>
          </w:rPr>
          <w:t>, according to new survey (March 2026)</w:t>
        </w:r>
        <w:r w:rsidR="24B43D64" w:rsidRPr="0173E3E5">
          <w:rPr>
            <w:rStyle w:val="Hyperlink"/>
            <w:rFonts w:ascii="Verdana" w:hAnsi="Verdana"/>
          </w:rPr>
          <w:t>:</w:t>
        </w:r>
      </w:hyperlink>
      <w:r w:rsidR="24B43D64" w:rsidRPr="0173E3E5">
        <w:rPr>
          <w:rFonts w:ascii="Verdana" w:hAnsi="Verdana"/>
        </w:rPr>
        <w:t xml:space="preserve"> A new </w:t>
      </w:r>
      <w:proofErr w:type="spellStart"/>
      <w:r w:rsidR="24B43D64" w:rsidRPr="0173E3E5">
        <w:rPr>
          <w:rFonts w:ascii="Verdana" w:hAnsi="Verdana"/>
        </w:rPr>
        <w:t>Osapiens</w:t>
      </w:r>
      <w:proofErr w:type="spellEnd"/>
      <w:r w:rsidR="24B43D64" w:rsidRPr="0173E3E5">
        <w:rPr>
          <w:rFonts w:ascii="Verdana" w:hAnsi="Verdana"/>
        </w:rPr>
        <w:t xml:space="preserve"> survey shows that about 90% of companies removed from CSRD scope by the Omnibus changes still plan to maintain or expand their sustainability reporting, with most confident they can continue at close to CSRD</w:t>
      </w:r>
      <w:r>
        <w:noBreakHyphen/>
      </w:r>
      <w:r w:rsidR="24B43D64" w:rsidRPr="0173E3E5">
        <w:rPr>
          <w:rFonts w:ascii="Verdana" w:hAnsi="Verdana"/>
        </w:rPr>
        <w:t xml:space="preserve">level standards. Respondents report that sustainability data is now embedded in core activities such as operational planning, innovation, financial </w:t>
      </w:r>
      <w:r w:rsidR="24B43D64" w:rsidRPr="0173E3E5">
        <w:rPr>
          <w:rFonts w:ascii="Verdana" w:hAnsi="Verdana"/>
        </w:rPr>
        <w:lastRenderedPageBreak/>
        <w:t>decision</w:t>
      </w:r>
      <w:r>
        <w:noBreakHyphen/>
      </w:r>
      <w:r w:rsidR="24B43D64" w:rsidRPr="0173E3E5">
        <w:rPr>
          <w:rFonts w:ascii="Verdana" w:hAnsi="Verdana"/>
        </w:rPr>
        <w:t>making</w:t>
      </w:r>
      <w:r w:rsidR="0844D472" w:rsidRPr="0173E3E5">
        <w:rPr>
          <w:rFonts w:ascii="Verdana" w:hAnsi="Verdana"/>
        </w:rPr>
        <w:t>,</w:t>
      </w:r>
      <w:r w:rsidR="24B43D64" w:rsidRPr="0173E3E5">
        <w:rPr>
          <w:rFonts w:ascii="Verdana" w:hAnsi="Verdana"/>
        </w:rPr>
        <w:t xml:space="preserve"> and supply</w:t>
      </w:r>
      <w:r>
        <w:noBreakHyphen/>
      </w:r>
      <w:r w:rsidR="24B43D64" w:rsidRPr="0173E3E5">
        <w:rPr>
          <w:rFonts w:ascii="Verdana" w:hAnsi="Verdana"/>
        </w:rPr>
        <w:t>chain risk assessment, so the business case for reporting extends beyond formal compliance.</w:t>
      </w:r>
    </w:p>
    <w:p w14:paraId="1573FCB4" w14:textId="071C8690" w:rsidR="7C022B9A" w:rsidRDefault="7C022B9A" w:rsidP="54907166">
      <w:pPr>
        <w:pStyle w:val="BodyText"/>
        <w:numPr>
          <w:ilvl w:val="0"/>
          <w:numId w:val="3"/>
        </w:numPr>
        <w:rPr>
          <w:rFonts w:ascii="Verdana" w:hAnsi="Verdana"/>
          <w:szCs w:val="20"/>
        </w:rPr>
      </w:pPr>
      <w:hyperlink r:id="rId16">
        <w:r w:rsidRPr="54907166">
          <w:rPr>
            <w:rStyle w:val="Hyperlink"/>
            <w:rFonts w:ascii="Verdana" w:hAnsi="Verdana"/>
            <w:szCs w:val="20"/>
          </w:rPr>
          <w:t>Governance to remain a ‘focal point’ for shareholders this proxy season, according to Conference Board report</w:t>
        </w:r>
      </w:hyperlink>
      <w:r w:rsidR="1F579255" w:rsidRPr="54907166">
        <w:rPr>
          <w:rFonts w:ascii="Verdana" w:hAnsi="Verdana"/>
          <w:szCs w:val="20"/>
        </w:rPr>
        <w:t xml:space="preserve">: The Conference Board’s preview of the 2026 proxy season concludes that governance proposals have drawn the highest average shareholder support over the past several years and are expected to remain a focal point for investors. At the same time, voting outcomes are becoming more contextual and less predictable as large asset managers and proxy advisers lean more on </w:t>
      </w:r>
      <w:proofErr w:type="gramStart"/>
      <w:r w:rsidR="1F579255" w:rsidRPr="54907166">
        <w:rPr>
          <w:rFonts w:ascii="Verdana" w:hAnsi="Verdana"/>
          <w:szCs w:val="20"/>
        </w:rPr>
        <w:t>issuer</w:t>
      </w:r>
      <w:r>
        <w:noBreakHyphen/>
      </w:r>
      <w:proofErr w:type="gramEnd"/>
      <w:r w:rsidR="1F579255" w:rsidRPr="54907166">
        <w:rPr>
          <w:rFonts w:ascii="Verdana" w:hAnsi="Verdana"/>
          <w:szCs w:val="20"/>
        </w:rPr>
        <w:t>specific facts, disclosure quality</w:t>
      </w:r>
      <w:r w:rsidR="006D6AAF">
        <w:rPr>
          <w:rFonts w:ascii="Verdana" w:hAnsi="Verdana"/>
          <w:szCs w:val="20"/>
        </w:rPr>
        <w:t>,</w:t>
      </w:r>
      <w:r w:rsidR="1F579255" w:rsidRPr="54907166">
        <w:rPr>
          <w:rFonts w:ascii="Verdana" w:hAnsi="Verdana"/>
          <w:szCs w:val="20"/>
        </w:rPr>
        <w:t xml:space="preserve"> and responsiveness, reinforcing governance as the main lever for investor pressure on ESG issues.</w:t>
      </w:r>
    </w:p>
    <w:p w14:paraId="1F368719" w14:textId="470BE052" w:rsidR="7C022B9A" w:rsidRDefault="7C022B9A" w:rsidP="54907166">
      <w:pPr>
        <w:pStyle w:val="BodyText"/>
        <w:rPr>
          <w:rFonts w:ascii="Verdana" w:hAnsi="Verdana"/>
          <w:szCs w:val="20"/>
        </w:rPr>
      </w:pPr>
      <w:r w:rsidRPr="54907166">
        <w:rPr>
          <w:rFonts w:ascii="Verdana" w:hAnsi="Verdana"/>
          <w:b/>
          <w:bCs/>
          <w:szCs w:val="20"/>
        </w:rPr>
        <w:t>EU regulatory update</w:t>
      </w:r>
    </w:p>
    <w:p w14:paraId="64D84106" w14:textId="7A67CC60" w:rsidR="54907166" w:rsidRDefault="7C022B9A" w:rsidP="00DD0735">
      <w:pPr>
        <w:pStyle w:val="BodyText"/>
        <w:ind w:left="720"/>
      </w:pPr>
      <w:hyperlink r:id="rId17">
        <w:r w:rsidRPr="54907166">
          <w:rPr>
            <w:rStyle w:val="Hyperlink"/>
            <w:rFonts w:ascii="Verdana" w:hAnsi="Verdana"/>
            <w:szCs w:val="20"/>
          </w:rPr>
          <w:t>EU weighing last-minute move to adopt ISSB sustainability standards</w:t>
        </w:r>
      </w:hyperlink>
      <w:r w:rsidR="00776E58">
        <w:t>, by Responsible Investor</w:t>
      </w:r>
      <w:r w:rsidR="766FA1F4" w:rsidRPr="54907166">
        <w:rPr>
          <w:rFonts w:ascii="Verdana" w:hAnsi="Verdana"/>
          <w:szCs w:val="20"/>
        </w:rPr>
        <w:t>: Recent reporting suggests the European Commission is exploring ways to allow EU companies to achieve “full ISSB adopter” status within CSRD by embedding ISSB</w:t>
      </w:r>
      <w:r>
        <w:noBreakHyphen/>
      </w:r>
      <w:r w:rsidR="766FA1F4" w:rsidRPr="54907166">
        <w:rPr>
          <w:rFonts w:ascii="Verdana" w:hAnsi="Verdana"/>
          <w:szCs w:val="20"/>
        </w:rPr>
        <w:t xml:space="preserve">compliant, financially material disclosures in ESRS reports, provided they are not obscured by broader impact data. Commentary, including a </w:t>
      </w:r>
      <w:hyperlink r:id="rId18" w:history="1">
        <w:r w:rsidR="766FA1F4" w:rsidRPr="00F17B85">
          <w:rPr>
            <w:rStyle w:val="Hyperlink"/>
            <w:rFonts w:ascii="Verdana" w:hAnsi="Verdana"/>
            <w:szCs w:val="20"/>
          </w:rPr>
          <w:t>recent Forbes column</w:t>
        </w:r>
      </w:hyperlink>
      <w:r w:rsidR="766FA1F4" w:rsidRPr="54907166">
        <w:rPr>
          <w:rFonts w:ascii="Verdana" w:hAnsi="Verdana"/>
          <w:szCs w:val="20"/>
        </w:rPr>
        <w:t>, indicates policymakers are more likely to pursue closer alignment between ESRS and IFRS/ISSB under the banner of simplification and competitiveness than to repeal ESRS, with next steps expected as the Commission directs EFRAG’s upcoming technical work.</w:t>
      </w:r>
    </w:p>
    <w:p w14:paraId="62A5ACAD" w14:textId="066C959E" w:rsidR="39AE788C" w:rsidRPr="001F69EA" w:rsidRDefault="39AE788C" w:rsidP="45C81F2E">
      <w:pPr>
        <w:pStyle w:val="Heading1"/>
      </w:pPr>
      <w:r>
        <w:t xml:space="preserve">ERM &amp; </w:t>
      </w:r>
      <w:r w:rsidR="1FBD1A4D">
        <w:t xml:space="preserve">ERM </w:t>
      </w:r>
      <w:r>
        <w:t>SUSTAINABILITY INSTITUTE UPDATES</w:t>
      </w:r>
    </w:p>
    <w:p w14:paraId="4773630F" w14:textId="566564CA" w:rsidR="00EB318E" w:rsidRPr="001F69EA" w:rsidRDefault="37858C58" w:rsidP="54907166">
      <w:pPr>
        <w:pStyle w:val="BodyText"/>
        <w:numPr>
          <w:ilvl w:val="0"/>
          <w:numId w:val="1"/>
        </w:numPr>
        <w:rPr>
          <w:rFonts w:ascii="Verdana" w:hAnsi="Verdana"/>
        </w:rPr>
      </w:pPr>
      <w:hyperlink r:id="rId19">
        <w:r w:rsidRPr="2EA5732E">
          <w:rPr>
            <w:rStyle w:val="Hyperlink"/>
            <w:rFonts w:ascii="Verdana" w:hAnsi="Verdana"/>
          </w:rPr>
          <w:t>March 2026 Quarterly Trends Report</w:t>
        </w:r>
      </w:hyperlink>
      <w:r w:rsidR="5B5FA558" w:rsidRPr="2EA5732E">
        <w:rPr>
          <w:rFonts w:ascii="Verdana" w:hAnsi="Verdana"/>
        </w:rPr>
        <w:t>: The March 2026 Quarterly Trends Report updates ERM’s Annual Trends for Q1, highlighting the most important new signals across sustainability strategy, reporting, energy transition</w:t>
      </w:r>
      <w:r w:rsidR="381FAA48" w:rsidRPr="2EA5732E">
        <w:rPr>
          <w:rFonts w:ascii="Verdana" w:hAnsi="Verdana"/>
        </w:rPr>
        <w:t>,</w:t>
      </w:r>
      <w:r w:rsidR="5B5FA558" w:rsidRPr="2EA5732E">
        <w:rPr>
          <w:rFonts w:ascii="Verdana" w:hAnsi="Verdana"/>
        </w:rPr>
        <w:t xml:space="preserve"> and digital tools, and </w:t>
      </w:r>
      <w:r w:rsidR="2A597834" w:rsidRPr="4A79D21A">
        <w:rPr>
          <w:rFonts w:ascii="Verdana" w:hAnsi="Verdana"/>
        </w:rPr>
        <w:t xml:space="preserve">explaining </w:t>
      </w:r>
      <w:r w:rsidR="5B5FA558" w:rsidRPr="4A79D21A">
        <w:rPr>
          <w:rFonts w:ascii="Verdana" w:hAnsi="Verdana"/>
        </w:rPr>
        <w:t>what</w:t>
      </w:r>
      <w:r w:rsidR="5B5FA558" w:rsidRPr="2EA5732E">
        <w:rPr>
          <w:rFonts w:ascii="Verdana" w:hAnsi="Verdana"/>
        </w:rPr>
        <w:t xml:space="preserve"> those shifts mean for corporate decision</w:t>
      </w:r>
      <w:r w:rsidR="00EB318E">
        <w:noBreakHyphen/>
      </w:r>
      <w:r w:rsidR="5B5FA558" w:rsidRPr="2EA5732E">
        <w:rPr>
          <w:rFonts w:ascii="Verdana" w:hAnsi="Verdana"/>
        </w:rPr>
        <w:t>making now.</w:t>
      </w:r>
    </w:p>
    <w:p w14:paraId="2CB25EDC" w14:textId="51586466" w:rsidR="00EB318E" w:rsidRPr="001F69EA" w:rsidRDefault="37858C58" w:rsidP="54907166">
      <w:pPr>
        <w:pStyle w:val="BodyText"/>
        <w:numPr>
          <w:ilvl w:val="0"/>
          <w:numId w:val="1"/>
        </w:numPr>
        <w:rPr>
          <w:rFonts w:ascii="Verdana" w:hAnsi="Verdana"/>
          <w:szCs w:val="20"/>
        </w:rPr>
      </w:pPr>
      <w:hyperlink r:id="rId20">
        <w:r w:rsidRPr="54907166">
          <w:rPr>
            <w:rStyle w:val="Hyperlink"/>
            <w:rFonts w:ascii="Verdana" w:hAnsi="Verdana"/>
            <w:szCs w:val="20"/>
          </w:rPr>
          <w:t>UK Introduces New Disclosure Standards for Sustainability Reporting</w:t>
        </w:r>
      </w:hyperlink>
      <w:r w:rsidR="756F4B94" w:rsidRPr="54907166">
        <w:rPr>
          <w:rFonts w:ascii="Verdana" w:hAnsi="Verdana"/>
          <w:szCs w:val="20"/>
        </w:rPr>
        <w:t xml:space="preserve">: </w:t>
      </w:r>
      <w:r w:rsidR="6FE33FB6" w:rsidRPr="54907166">
        <w:rPr>
          <w:rFonts w:ascii="Verdana" w:hAnsi="Verdana"/>
          <w:szCs w:val="20"/>
        </w:rPr>
        <w:t xml:space="preserve">This blog </w:t>
      </w:r>
      <w:r w:rsidR="756F4B94" w:rsidRPr="54907166">
        <w:rPr>
          <w:rFonts w:ascii="Verdana" w:hAnsi="Verdana"/>
          <w:szCs w:val="20"/>
        </w:rPr>
        <w:t>explains the UK’s new Sustainability Reporting Standards (SRS), how they align with IFRS S1/S2, and what the FCA’s proposed implementation (including mandatory core climate disclosures, “comply or explain” for Scope 3 and broader sustainability, and simultaneous publication with financials) means in practice for UK</w:t>
      </w:r>
      <w:r w:rsidR="00EB318E">
        <w:noBreakHyphen/>
      </w:r>
      <w:r w:rsidR="756F4B94" w:rsidRPr="54907166">
        <w:rPr>
          <w:rFonts w:ascii="Verdana" w:hAnsi="Verdana"/>
          <w:szCs w:val="20"/>
        </w:rPr>
        <w:t>listed companies.</w:t>
      </w:r>
    </w:p>
    <w:p w14:paraId="4E21FFCF" w14:textId="03464EEA" w:rsidR="00EB318E" w:rsidRPr="001F69EA" w:rsidRDefault="37858C58" w:rsidP="54907166">
      <w:pPr>
        <w:pStyle w:val="BodyText"/>
        <w:numPr>
          <w:ilvl w:val="0"/>
          <w:numId w:val="1"/>
        </w:numPr>
        <w:rPr>
          <w:rFonts w:ascii="Verdana" w:hAnsi="Verdana"/>
        </w:rPr>
      </w:pPr>
      <w:hyperlink r:id="rId21" w:history="1">
        <w:r w:rsidRPr="01409127">
          <w:rPr>
            <w:rStyle w:val="Hyperlink"/>
            <w:rFonts w:ascii="Verdana" w:hAnsi="Verdana"/>
          </w:rPr>
          <w:t xml:space="preserve">EU Policy Regulation Alert </w:t>
        </w:r>
        <w:r w:rsidRPr="00CA464D">
          <w:rPr>
            <w:rStyle w:val="Hyperlink"/>
            <w:rFonts w:ascii="Verdana" w:hAnsi="Verdana"/>
            <w:i/>
          </w:rPr>
          <w:t>On your marks</w:t>
        </w:r>
      </w:hyperlink>
      <w:r w:rsidR="18D93CD7" w:rsidRPr="01409127">
        <w:rPr>
          <w:rFonts w:ascii="Verdana" w:hAnsi="Verdana"/>
        </w:rPr>
        <w:t>:</w:t>
      </w:r>
      <w:r w:rsidR="17296741" w:rsidRPr="01409127">
        <w:rPr>
          <w:rFonts w:ascii="Verdana" w:hAnsi="Verdana"/>
        </w:rPr>
        <w:t xml:space="preserve"> This policy alert</w:t>
      </w:r>
      <w:r w:rsidR="18D93CD7" w:rsidRPr="01409127">
        <w:rPr>
          <w:rFonts w:ascii="Verdana" w:hAnsi="Verdana"/>
        </w:rPr>
        <w:t xml:space="preserve"> explains how the EU’s push to “simplify” its sustainability rulebook is entering a new phase, summarizing the latest status and expected next steps for CSRD, CSDDD, EUDR, CBAM</w:t>
      </w:r>
      <w:r w:rsidR="2C7BE729" w:rsidRPr="241F4710">
        <w:rPr>
          <w:rFonts w:ascii="Verdana" w:hAnsi="Verdana"/>
        </w:rPr>
        <w:t>,</w:t>
      </w:r>
      <w:r w:rsidR="18D93CD7" w:rsidRPr="01409127">
        <w:rPr>
          <w:rFonts w:ascii="Verdana" w:hAnsi="Verdana"/>
        </w:rPr>
        <w:t xml:space="preserve"> and a potential “SFDR 2.0.” It highlights where convergence and streamlining are likely versus where requirements may </w:t>
      </w:r>
      <w:r w:rsidR="21D07712" w:rsidRPr="01409127">
        <w:rPr>
          <w:rFonts w:ascii="Verdana" w:hAnsi="Verdana"/>
        </w:rPr>
        <w:t>tighten and</w:t>
      </w:r>
      <w:r w:rsidR="18D93CD7" w:rsidRPr="01409127">
        <w:rPr>
          <w:rFonts w:ascii="Verdana" w:hAnsi="Verdana"/>
        </w:rPr>
        <w:t xml:space="preserve"> outlines immediate implications and watch</w:t>
      </w:r>
      <w:r w:rsidR="00EB318E">
        <w:noBreakHyphen/>
      </w:r>
      <w:r w:rsidR="18D93CD7" w:rsidRPr="01409127">
        <w:rPr>
          <w:rFonts w:ascii="Verdana" w:hAnsi="Verdana"/>
        </w:rPr>
        <w:t>points for companies preparing their EU</w:t>
      </w:r>
      <w:r w:rsidR="00EB318E">
        <w:noBreakHyphen/>
      </w:r>
      <w:r w:rsidR="18D93CD7" w:rsidRPr="01409127">
        <w:rPr>
          <w:rFonts w:ascii="Verdana" w:hAnsi="Verdana"/>
        </w:rPr>
        <w:t>related disclosure, due diligence</w:t>
      </w:r>
      <w:r w:rsidR="2A5D294D" w:rsidRPr="3F829B45">
        <w:rPr>
          <w:rFonts w:ascii="Verdana" w:hAnsi="Verdana"/>
        </w:rPr>
        <w:t>,</w:t>
      </w:r>
      <w:r w:rsidR="18D93CD7" w:rsidRPr="01409127">
        <w:rPr>
          <w:rFonts w:ascii="Verdana" w:hAnsi="Verdana"/>
        </w:rPr>
        <w:t xml:space="preserve"> and supply</w:t>
      </w:r>
      <w:r w:rsidR="00EB318E">
        <w:noBreakHyphen/>
      </w:r>
      <w:r w:rsidR="18D93CD7" w:rsidRPr="01409127">
        <w:rPr>
          <w:rFonts w:ascii="Verdana" w:hAnsi="Verdana"/>
        </w:rPr>
        <w:t>chain strategies.</w:t>
      </w:r>
    </w:p>
    <w:p w14:paraId="46AE3212" w14:textId="364871DF" w:rsidR="00EB318E" w:rsidRPr="001F69EA" w:rsidRDefault="37858C58" w:rsidP="54907166">
      <w:pPr>
        <w:pStyle w:val="BodyText"/>
        <w:numPr>
          <w:ilvl w:val="0"/>
          <w:numId w:val="1"/>
        </w:numPr>
        <w:rPr>
          <w:rFonts w:ascii="Verdana" w:hAnsi="Verdana"/>
        </w:rPr>
      </w:pPr>
      <w:r w:rsidRPr="46A8EF49">
        <w:rPr>
          <w:rFonts w:ascii="Verdana" w:hAnsi="Verdana"/>
        </w:rPr>
        <w:t>ERM at London Climate Week</w:t>
      </w:r>
      <w:r w:rsidR="11C3C73D" w:rsidRPr="46A8EF49">
        <w:rPr>
          <w:rFonts w:ascii="Verdana" w:hAnsi="Verdana"/>
        </w:rPr>
        <w:t xml:space="preserve">: ERM will have a meaningful presence at London Climate </w:t>
      </w:r>
      <w:r w:rsidR="00497996" w:rsidRPr="46A8EF49">
        <w:rPr>
          <w:rFonts w:ascii="Verdana" w:hAnsi="Verdana"/>
        </w:rPr>
        <w:t>Week, hosting</w:t>
      </w:r>
      <w:r w:rsidR="11C3C73D" w:rsidRPr="46A8EF49">
        <w:rPr>
          <w:rFonts w:ascii="Verdana" w:hAnsi="Verdana"/>
        </w:rPr>
        <w:t xml:space="preserve"> </w:t>
      </w:r>
      <w:r w:rsidR="4FBBE3BD" w:rsidRPr="18E2D4DE">
        <w:rPr>
          <w:rFonts w:ascii="Verdana" w:hAnsi="Verdana"/>
        </w:rPr>
        <w:t xml:space="preserve">some </w:t>
      </w:r>
      <w:r w:rsidR="00497996">
        <w:rPr>
          <w:rFonts w:ascii="Verdana" w:hAnsi="Verdana"/>
        </w:rPr>
        <w:t>ten to twelve</w:t>
      </w:r>
      <w:r w:rsidR="11C3C73D" w:rsidRPr="46A8EF49">
        <w:rPr>
          <w:rFonts w:ascii="Verdana" w:hAnsi="Verdana"/>
        </w:rPr>
        <w:t xml:space="preserve"> events. If your organization is sending a delegation, </w:t>
      </w:r>
      <w:r w:rsidR="5E46E2A7" w:rsidRPr="01E7D2B4">
        <w:rPr>
          <w:rFonts w:ascii="Verdana" w:hAnsi="Verdana"/>
        </w:rPr>
        <w:t xml:space="preserve">please </w:t>
      </w:r>
      <w:r w:rsidR="11C3C73D" w:rsidRPr="01E7D2B4">
        <w:rPr>
          <w:rFonts w:ascii="Verdana" w:hAnsi="Verdana"/>
        </w:rPr>
        <w:t>get</w:t>
      </w:r>
      <w:r w:rsidR="11C3C73D" w:rsidRPr="46A8EF49">
        <w:rPr>
          <w:rFonts w:ascii="Verdana" w:hAnsi="Verdana"/>
        </w:rPr>
        <w:t xml:space="preserve"> in touch with Mark Lee or Kristin Siepker (contact info below)</w:t>
      </w:r>
      <w:r w:rsidR="00497996">
        <w:rPr>
          <w:rFonts w:ascii="Verdana" w:hAnsi="Verdana"/>
        </w:rPr>
        <w:t>,</w:t>
      </w:r>
      <w:r w:rsidR="11C3C73D" w:rsidRPr="46A8EF49">
        <w:rPr>
          <w:rFonts w:ascii="Verdana" w:hAnsi="Verdana"/>
        </w:rPr>
        <w:t xml:space="preserve"> who can point your colleagues to relevant sessions and create opportunities to meet ERM teams in person.</w:t>
      </w:r>
    </w:p>
    <w:p w14:paraId="6E997873" w14:textId="177A26E2" w:rsidR="54907166" w:rsidRDefault="54907166" w:rsidP="54907166">
      <w:pPr>
        <w:pStyle w:val="BodyText"/>
        <w:rPr>
          <w:rFonts w:ascii="Verdana" w:hAnsi="Verdana"/>
          <w:szCs w:val="20"/>
        </w:rPr>
      </w:pPr>
    </w:p>
    <w:p w14:paraId="259A548B" w14:textId="6CA46246" w:rsidR="54907166" w:rsidRDefault="54907166" w:rsidP="54907166">
      <w:pPr>
        <w:pStyle w:val="BodyText"/>
        <w:rPr>
          <w:rFonts w:ascii="Verdana" w:hAnsi="Verdana"/>
        </w:rPr>
      </w:pPr>
    </w:p>
    <w:p w14:paraId="61BF396B" w14:textId="21D9F36F" w:rsidR="54907166" w:rsidRDefault="54907166" w:rsidP="54907166">
      <w:pPr>
        <w:pStyle w:val="BodyText"/>
        <w:rPr>
          <w:rFonts w:ascii="Verdana" w:hAnsi="Verdana"/>
          <w:szCs w:val="20"/>
        </w:rPr>
      </w:pPr>
    </w:p>
    <w:tbl>
      <w:tblPr>
        <w:tblStyle w:val="ERMTable1"/>
        <w:tblW w:w="5000" w:type="pct"/>
        <w:tblLook w:val="0620" w:firstRow="1" w:lastRow="0" w:firstColumn="0" w:lastColumn="0" w:noHBand="1" w:noVBand="1"/>
      </w:tblPr>
      <w:tblGrid>
        <w:gridCol w:w="4986"/>
        <w:gridCol w:w="4986"/>
      </w:tblGrid>
      <w:tr w:rsidR="006E3102" w:rsidRPr="001F69EA" w14:paraId="77BB5065" w14:textId="77777777" w:rsidTr="45C81F2E">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220BAE02" w14:textId="1FA92D49" w:rsidR="006E3102" w:rsidRPr="001F69EA" w:rsidRDefault="39AE788C" w:rsidP="45C81F2E">
            <w:r w:rsidRPr="001F69EA">
              <w:t>Contact Us</w:t>
            </w:r>
          </w:p>
          <w:p w14:paraId="3E25D1D7" w14:textId="5216B707" w:rsidR="006E3102" w:rsidRPr="001F69EA" w:rsidRDefault="39AE788C" w:rsidP="45C81F2E">
            <w:pPr>
              <w:rPr>
                <w:rFonts w:ascii="Verdana" w:hAnsi="Verdana"/>
                <w:b w:val="0"/>
                <w:color w:val="000000"/>
                <w:szCs w:val="20"/>
              </w:rPr>
            </w:pPr>
            <w:hyperlink r:id="rId22">
              <w:r w:rsidRPr="001F69EA">
                <w:rPr>
                  <w:rStyle w:val="Hyperlink"/>
                  <w:rFonts w:ascii="Verdana" w:hAnsi="Verdana"/>
                  <w:b w:val="0"/>
                  <w:szCs w:val="20"/>
                </w:rPr>
                <w:t>ERM</w:t>
              </w:r>
            </w:hyperlink>
            <w:r w:rsidRPr="001F69EA">
              <w:rPr>
                <w:rFonts w:ascii="Verdana" w:hAnsi="Verdana"/>
                <w:b w:val="0"/>
                <w:color w:val="000000"/>
                <w:szCs w:val="20"/>
              </w:rPr>
              <w:t xml:space="preserve"> and the </w:t>
            </w:r>
            <w:hyperlink r:id="rId23">
              <w:r w:rsidRPr="001F69EA">
                <w:rPr>
                  <w:rStyle w:val="Hyperlink"/>
                  <w:rFonts w:ascii="Verdana" w:hAnsi="Verdana"/>
                  <w:b w:val="0"/>
                  <w:szCs w:val="20"/>
                </w:rPr>
                <w:t>ERM Sustainability Institute</w:t>
              </w:r>
            </w:hyperlink>
            <w:r w:rsidRPr="001F69EA">
              <w:rPr>
                <w:rFonts w:ascii="Verdana" w:hAnsi="Verdana"/>
                <w:b w:val="0"/>
                <w:color w:val="000000"/>
                <w:szCs w:val="20"/>
              </w:rPr>
              <w:t xml:space="preserve"> help shape the ESG ecosystem through our work helping companies build and communicate improved ESG performance in ways that address the needs and priorities of investors, creditors, insurers, and lenders.</w:t>
            </w:r>
          </w:p>
          <w:p w14:paraId="46B06263" w14:textId="40FC4652" w:rsidR="006E3102" w:rsidRPr="001F69EA" w:rsidRDefault="39AE788C" w:rsidP="45C81F2E">
            <w:pPr>
              <w:rPr>
                <w:rFonts w:ascii="Verdana" w:hAnsi="Verdana"/>
                <w:b w:val="0"/>
                <w:color w:val="000000"/>
                <w:szCs w:val="20"/>
              </w:rPr>
            </w:pPr>
            <w:r w:rsidRPr="001F69EA">
              <w:rPr>
                <w:rFonts w:ascii="Verdana" w:hAnsi="Verdana"/>
                <w:b w:val="0"/>
                <w:color w:val="000000"/>
                <w:szCs w:val="20"/>
              </w:rPr>
              <w:t>Please contact us for further information:</w:t>
            </w:r>
          </w:p>
        </w:tc>
      </w:tr>
      <w:tr w:rsidR="00A53702" w:rsidRPr="001F69EA" w14:paraId="7E337E76" w14:textId="77777777" w:rsidTr="45C81F2E">
        <w:tc>
          <w:tcPr>
            <w:tcW w:w="2500" w:type="pct"/>
          </w:tcPr>
          <w:p w14:paraId="7DE3EDCC" w14:textId="04431FE5" w:rsidR="39AE788C" w:rsidRPr="001F69EA" w:rsidRDefault="39AE788C" w:rsidP="45C81F2E">
            <w:pPr>
              <w:pStyle w:val="Tabletextleft"/>
              <w:rPr>
                <w:b/>
                <w:bCs/>
              </w:rPr>
            </w:pPr>
            <w:r w:rsidRPr="001F69EA">
              <w:rPr>
                <w:b/>
                <w:bCs/>
              </w:rPr>
              <w:t>Mark Lee</w:t>
            </w:r>
          </w:p>
          <w:p w14:paraId="19DF4877" w14:textId="50A888D7" w:rsidR="39AE788C" w:rsidRPr="001F69EA" w:rsidRDefault="39AE788C" w:rsidP="45C81F2E">
            <w:pPr>
              <w:pStyle w:val="Tabletextleft"/>
            </w:pPr>
            <w:r w:rsidRPr="001F69EA">
              <w:t>Global Director</w:t>
            </w:r>
          </w:p>
          <w:p w14:paraId="57CAF25B" w14:textId="163D67A6" w:rsidR="39AE788C" w:rsidRPr="001F69EA" w:rsidRDefault="39AE788C" w:rsidP="45C81F2E">
            <w:pPr>
              <w:pStyle w:val="Tabletextleft"/>
            </w:pPr>
            <w:r w:rsidRPr="001F69EA">
              <w:t>Thought Leadership, ERM</w:t>
            </w:r>
          </w:p>
          <w:p w14:paraId="329470BF" w14:textId="4305E581" w:rsidR="39AE788C" w:rsidRPr="001F69EA" w:rsidRDefault="39AE788C" w:rsidP="45C81F2E">
            <w:pPr>
              <w:pStyle w:val="Tabletextleft"/>
            </w:pPr>
            <w:hyperlink r:id="rId24">
              <w:r w:rsidRPr="001F69EA">
                <w:rPr>
                  <w:rStyle w:val="Hyperlink"/>
                </w:rPr>
                <w:t>Mark.lee@erm.com</w:t>
              </w:r>
            </w:hyperlink>
          </w:p>
          <w:p w14:paraId="21B630E4" w14:textId="77777777" w:rsidR="00A53702" w:rsidRPr="001F69EA" w:rsidRDefault="00A53702" w:rsidP="00EE4084">
            <w:pPr>
              <w:pStyle w:val="Tabletextleft"/>
            </w:pPr>
          </w:p>
        </w:tc>
        <w:tc>
          <w:tcPr>
            <w:tcW w:w="2500" w:type="pct"/>
          </w:tcPr>
          <w:p w14:paraId="70C9C155" w14:textId="762F72CB" w:rsidR="39AE788C" w:rsidRPr="001F69EA" w:rsidRDefault="39AE788C" w:rsidP="45C81F2E">
            <w:pPr>
              <w:pStyle w:val="Tabletextleft"/>
              <w:rPr>
                <w:b/>
                <w:bCs/>
              </w:rPr>
            </w:pPr>
            <w:r w:rsidRPr="001F69EA">
              <w:rPr>
                <w:b/>
                <w:bCs/>
              </w:rPr>
              <w:t>Catherine (Katie) Osborn</w:t>
            </w:r>
          </w:p>
          <w:p w14:paraId="3B43C45A" w14:textId="4F981F84" w:rsidR="00A53702" w:rsidRPr="001F69EA" w:rsidRDefault="39AE788C" w:rsidP="00EE4084">
            <w:pPr>
              <w:pStyle w:val="Tabletextleft"/>
            </w:pPr>
            <w:r w:rsidRPr="001F69EA">
              <w:t>Associate Partner</w:t>
            </w:r>
          </w:p>
          <w:p w14:paraId="16930223" w14:textId="5C7C639A" w:rsidR="39AE788C" w:rsidRPr="001F69EA" w:rsidRDefault="39AE788C" w:rsidP="45C81F2E">
            <w:pPr>
              <w:pStyle w:val="Tabletextleft"/>
            </w:pPr>
            <w:r w:rsidRPr="001F69EA">
              <w:t>The ERM Sustainability Institute</w:t>
            </w:r>
          </w:p>
          <w:p w14:paraId="23B8CAA4" w14:textId="0DDD2A61" w:rsidR="39AE788C" w:rsidRPr="001F69EA" w:rsidRDefault="39AE788C" w:rsidP="45C81F2E">
            <w:pPr>
              <w:pStyle w:val="Tabletextleft"/>
            </w:pPr>
            <w:hyperlink r:id="rId25">
              <w:r w:rsidRPr="001F69EA">
                <w:rPr>
                  <w:rStyle w:val="Hyperlink"/>
                </w:rPr>
                <w:t>Catherine.osborn</w:t>
              </w:r>
              <w:r w:rsidR="62CF2026" w:rsidRPr="001F69EA">
                <w:rPr>
                  <w:rStyle w:val="Hyperlink"/>
                </w:rPr>
                <w:t>@erm.com</w:t>
              </w:r>
            </w:hyperlink>
          </w:p>
          <w:p w14:paraId="266B51F2" w14:textId="45BA1064" w:rsidR="00A53702" w:rsidRPr="001F69EA" w:rsidRDefault="00A53702" w:rsidP="00EE4084">
            <w:pPr>
              <w:pStyle w:val="Tabletextleft"/>
            </w:pPr>
          </w:p>
        </w:tc>
      </w:tr>
      <w:tr w:rsidR="45C81F2E" w:rsidRPr="001F69EA" w14:paraId="7438A410" w14:textId="77777777" w:rsidTr="45C81F2E">
        <w:trPr>
          <w:trHeight w:val="300"/>
        </w:trPr>
        <w:tc>
          <w:tcPr>
            <w:tcW w:w="4986" w:type="dxa"/>
          </w:tcPr>
          <w:p w14:paraId="64B56332" w14:textId="493CE107" w:rsidR="7C30C93F" w:rsidRPr="001F69EA" w:rsidRDefault="7C30C93F" w:rsidP="45C81F2E">
            <w:pPr>
              <w:pStyle w:val="Tabletextleft"/>
              <w:rPr>
                <w:b/>
                <w:bCs/>
              </w:rPr>
            </w:pPr>
            <w:r w:rsidRPr="001F69EA">
              <w:rPr>
                <w:b/>
                <w:bCs/>
              </w:rPr>
              <w:t>Katie Langemeier</w:t>
            </w:r>
          </w:p>
          <w:p w14:paraId="49F1F6FD" w14:textId="317409FF" w:rsidR="7C30C93F" w:rsidRPr="001F69EA" w:rsidRDefault="7C30C93F" w:rsidP="45C81F2E">
            <w:pPr>
              <w:pStyle w:val="Tabletextleft"/>
            </w:pPr>
            <w:r w:rsidRPr="001F69EA">
              <w:t>Research and Consulting Senior Associate</w:t>
            </w:r>
          </w:p>
          <w:p w14:paraId="0D03091E" w14:textId="1E8F28B7" w:rsidR="7C30C93F" w:rsidRPr="001F69EA" w:rsidRDefault="7C30C93F" w:rsidP="45C81F2E">
            <w:pPr>
              <w:pStyle w:val="Tabletextleft"/>
            </w:pPr>
            <w:r w:rsidRPr="001F69EA">
              <w:t>The ERM Sustainability Institute</w:t>
            </w:r>
          </w:p>
          <w:p w14:paraId="638D8BF2" w14:textId="30108574" w:rsidR="7C30C93F" w:rsidRPr="001F69EA" w:rsidRDefault="7C30C93F" w:rsidP="45C81F2E">
            <w:pPr>
              <w:pStyle w:val="Tabletextleft"/>
            </w:pPr>
            <w:hyperlink r:id="rId26">
              <w:r w:rsidRPr="001F69EA">
                <w:rPr>
                  <w:rStyle w:val="Hyperlink"/>
                </w:rPr>
                <w:t>Katie.langemeier@erm.com</w:t>
              </w:r>
            </w:hyperlink>
          </w:p>
          <w:p w14:paraId="7862EEFA" w14:textId="7AD2D4C9" w:rsidR="45C81F2E" w:rsidRPr="001F69EA" w:rsidRDefault="45C81F2E" w:rsidP="45C81F2E">
            <w:pPr>
              <w:pStyle w:val="Tabletextleft"/>
            </w:pPr>
          </w:p>
        </w:tc>
        <w:tc>
          <w:tcPr>
            <w:tcW w:w="4986" w:type="dxa"/>
          </w:tcPr>
          <w:p w14:paraId="6637515A" w14:textId="5561A26C" w:rsidR="7C30C93F" w:rsidRPr="001F69EA" w:rsidRDefault="7C30C93F" w:rsidP="45C81F2E">
            <w:pPr>
              <w:pStyle w:val="Tabletextleft"/>
              <w:rPr>
                <w:b/>
                <w:bCs/>
              </w:rPr>
            </w:pPr>
            <w:r w:rsidRPr="001F69EA">
              <w:rPr>
                <w:b/>
                <w:bCs/>
              </w:rPr>
              <w:t>Kristin Siepker</w:t>
            </w:r>
          </w:p>
          <w:p w14:paraId="7AEB861F" w14:textId="13060913" w:rsidR="7C30C93F" w:rsidRPr="001F69EA" w:rsidRDefault="7C30C93F" w:rsidP="45C81F2E">
            <w:pPr>
              <w:pStyle w:val="Tabletextleft"/>
            </w:pPr>
            <w:r w:rsidRPr="001F69EA">
              <w:t>Manager, Project Administration</w:t>
            </w:r>
          </w:p>
          <w:p w14:paraId="4426CFDE" w14:textId="6204CFDD" w:rsidR="7C30C93F" w:rsidRPr="001F69EA" w:rsidRDefault="7C30C93F" w:rsidP="45C81F2E">
            <w:pPr>
              <w:pStyle w:val="Tabletextleft"/>
            </w:pPr>
            <w:r w:rsidRPr="001F69EA">
              <w:t>ERM</w:t>
            </w:r>
          </w:p>
          <w:p w14:paraId="013A90EE" w14:textId="5E0A286C" w:rsidR="7C30C93F" w:rsidRPr="001F69EA" w:rsidRDefault="7C30C93F" w:rsidP="45C81F2E">
            <w:pPr>
              <w:pStyle w:val="Tabletextleft"/>
            </w:pPr>
            <w:hyperlink r:id="rId27">
              <w:r w:rsidRPr="001F69EA">
                <w:rPr>
                  <w:rStyle w:val="Hyperlink"/>
                </w:rPr>
                <w:t>Kristin.siepker@erm.com</w:t>
              </w:r>
            </w:hyperlink>
          </w:p>
          <w:p w14:paraId="701DAEA1" w14:textId="59241B74" w:rsidR="45C81F2E" w:rsidRPr="001F69EA" w:rsidRDefault="45C81F2E" w:rsidP="45C81F2E">
            <w:pPr>
              <w:pStyle w:val="Tabletextleft"/>
            </w:pPr>
          </w:p>
        </w:tc>
      </w:tr>
    </w:tbl>
    <w:p w14:paraId="188774FF" w14:textId="77777777" w:rsidR="00AB76E4" w:rsidRPr="00AB76E4" w:rsidRDefault="00AB76E4" w:rsidP="00F53979">
      <w:pPr>
        <w:pStyle w:val="BodyText"/>
      </w:pPr>
    </w:p>
    <w:sectPr w:rsidR="00AB76E4" w:rsidRPr="00AB76E4" w:rsidSect="00EE4084">
      <w:headerReference w:type="default" r:id="rId28"/>
      <w:footerReference w:type="default" r:id="rId29"/>
      <w:headerReference w:type="first" r:id="rId30"/>
      <w:footerReference w:type="first" r:id="rId31"/>
      <w:pgSz w:w="12240" w:h="15840" w:code="9"/>
      <w:pgMar w:top="1134" w:right="1134" w:bottom="1134" w:left="1134" w:header="567" w:footer="374" w:gutter="0"/>
      <w:pgNumType w:start="1"/>
      <w:cols w:sep="1" w:space="3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0B04C" w14:textId="77777777" w:rsidR="00B47FDB" w:rsidRPr="001F69EA" w:rsidRDefault="00B47FDB" w:rsidP="00A95726">
      <w:pPr>
        <w:spacing w:after="0" w:line="240" w:lineRule="auto"/>
      </w:pPr>
      <w:r w:rsidRPr="001F69EA">
        <w:separator/>
      </w:r>
    </w:p>
    <w:p w14:paraId="50D82069" w14:textId="77777777" w:rsidR="00B47FDB" w:rsidRPr="001F69EA" w:rsidRDefault="00B47FDB"/>
    <w:p w14:paraId="0E603CF5" w14:textId="77777777" w:rsidR="00B47FDB" w:rsidRPr="001F69EA" w:rsidRDefault="00B47FDB"/>
  </w:endnote>
  <w:endnote w:type="continuationSeparator" w:id="0">
    <w:p w14:paraId="69D27390" w14:textId="77777777" w:rsidR="00B47FDB" w:rsidRPr="001F69EA" w:rsidRDefault="00B47FDB" w:rsidP="00A95726">
      <w:pPr>
        <w:spacing w:after="0" w:line="240" w:lineRule="auto"/>
      </w:pPr>
      <w:r w:rsidRPr="001F69EA">
        <w:continuationSeparator/>
      </w:r>
    </w:p>
    <w:p w14:paraId="49A84C61" w14:textId="77777777" w:rsidR="00B47FDB" w:rsidRPr="001F69EA" w:rsidRDefault="00B47FDB"/>
    <w:p w14:paraId="588702BF" w14:textId="77777777" w:rsidR="00B47FDB" w:rsidRPr="001F69EA" w:rsidRDefault="00B47F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Sans-Serif">
    <w:altName w:val="Wingdings"/>
    <w:panose1 w:val="00000000000000000000"/>
    <w:charset w:val="00"/>
    <w:family w:val="roman"/>
    <w:notTrueType/>
    <w:pitch w:val="default"/>
  </w:font>
  <w:font w:name="Arial,Sans-Serif">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3CCA" w14:textId="4557667E" w:rsidR="003C34D3" w:rsidRPr="001F69EA" w:rsidRDefault="00D5654F" w:rsidP="00F02262">
    <w:pPr>
      <w:pStyle w:val="Footer"/>
    </w:pPr>
    <w:r w:rsidRPr="001F69EA">
      <w:fldChar w:fldCharType="begin"/>
    </w:r>
    <w:r w:rsidRPr="001F69EA">
      <w:instrText xml:space="preserve"> STYLEREF </w:instrText>
    </w:r>
    <w:r w:rsidR="00F02262" w:rsidRPr="001F69EA">
      <w:instrText>T1</w:instrText>
    </w:r>
    <w:r w:rsidRPr="001F69EA">
      <w:instrText xml:space="preserve"> \* MERGEFORMAT </w:instrText>
    </w:r>
    <w:r w:rsidRPr="001F69EA">
      <w:fldChar w:fldCharType="separate"/>
    </w:r>
    <w:r w:rsidR="00372959">
      <w:rPr>
        <w:noProof/>
      </w:rPr>
      <w:t>ESG Ratings Working Group</w:t>
    </w:r>
    <w:r w:rsidRPr="001F69EA">
      <w:fldChar w:fldCharType="end"/>
    </w:r>
  </w:p>
  <w:p w14:paraId="5CBCFF3A" w14:textId="3CB68514" w:rsidR="00884114" w:rsidRPr="001F69EA" w:rsidRDefault="003C34D3" w:rsidP="00A63494">
    <w:pPr>
      <w:pStyle w:val="Footer"/>
      <w:rPr>
        <w:rStyle w:val="PageNumber"/>
      </w:rPr>
    </w:pPr>
    <w:r w:rsidRPr="001F69EA">
      <w:rPr>
        <w:noProof/>
      </w:rPr>
      <w:drawing>
        <wp:anchor distT="0" distB="0" distL="114300" distR="114300" simplePos="0" relativeHeight="251658241" behindDoc="0" locked="1" layoutInCell="1" allowOverlap="1" wp14:anchorId="48DF6A8D" wp14:editId="3E07774B">
          <wp:simplePos x="0" y="0"/>
          <wp:positionH relativeFrom="page">
            <wp:posOffset>612140</wp:posOffset>
          </wp:positionH>
          <wp:positionV relativeFrom="bottomMargin">
            <wp:posOffset>90170</wp:posOffset>
          </wp:positionV>
          <wp:extent cx="910800" cy="356400"/>
          <wp:effectExtent l="0" t="0" r="3810" b="0"/>
          <wp:wrapNone/>
          <wp:docPr id="1272800975" name="Graphic 1272800975"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25480" name="Graphic 813925480"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rsidRPr="001F69EA">
      <w:fldChar w:fldCharType="begin"/>
    </w:r>
    <w:r w:rsidRPr="001F69EA">
      <w:instrText xml:space="preserve"> STYLEREF </w:instrText>
    </w:r>
    <w:r w:rsidR="00042AFF" w:rsidRPr="001F69EA">
      <w:instrText>"</w:instrText>
    </w:r>
    <w:r w:rsidR="00F02262" w:rsidRPr="001F69EA">
      <w:instrText>S1</w:instrText>
    </w:r>
    <w:r w:rsidR="00042AFF" w:rsidRPr="001F69EA">
      <w:instrText>"</w:instrText>
    </w:r>
    <w:r w:rsidRPr="001F69EA">
      <w:instrText xml:space="preserve"> \* MERGEFORMAT </w:instrText>
    </w:r>
    <w:r w:rsidRPr="001F69EA">
      <w:fldChar w:fldCharType="separate"/>
    </w:r>
    <w:r w:rsidR="00372959">
      <w:rPr>
        <w:noProof/>
      </w:rPr>
      <w:t>May 2026 | CDP</w:t>
    </w:r>
    <w:r w:rsidRPr="001F69EA">
      <w:fldChar w:fldCharType="end"/>
    </w:r>
    <w:r w:rsidR="00042AFF" w:rsidRPr="001F69EA">
      <w:ptab w:relativeTo="margin" w:alignment="right" w:leader="none"/>
    </w:r>
    <w:r w:rsidR="00042AFF" w:rsidRPr="001F69EA">
      <w:t xml:space="preserve">Page </w:t>
    </w:r>
    <w:r w:rsidR="00042AFF" w:rsidRPr="001F69EA">
      <w:fldChar w:fldCharType="begin"/>
    </w:r>
    <w:r w:rsidR="00042AFF" w:rsidRPr="001F69EA">
      <w:instrText xml:space="preserve"> PAGE  \* Arabic  \* MERGEFORMAT </w:instrText>
    </w:r>
    <w:r w:rsidR="00042AFF" w:rsidRPr="001F69EA">
      <w:fldChar w:fldCharType="separate"/>
    </w:r>
    <w:r w:rsidR="00042AFF" w:rsidRPr="001F69EA">
      <w:t>1</w:t>
    </w:r>
    <w:r w:rsidR="00042AFF" w:rsidRPr="001F69E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E6C2" w14:textId="7E209B0A" w:rsidR="00F806CF" w:rsidRPr="001F69EA" w:rsidRDefault="00F806CF" w:rsidP="00181D16">
    <w:pPr>
      <w:pStyle w:val="Copyright"/>
      <w:tabs>
        <w:tab w:val="clear" w:pos="10206"/>
        <w:tab w:val="right" w:pos="10490"/>
      </w:tabs>
      <w:spacing w:before="300" w:after="274"/>
    </w:pPr>
    <w:r w:rsidRPr="001F69EA">
      <w:t xml:space="preserve">© </w:t>
    </w:r>
    <w:bookmarkStart w:id="3" w:name="LastPage"/>
    <w:bookmarkEnd w:id="3"/>
    <w:r w:rsidRPr="001F69EA">
      <w:t xml:space="preserve">Copyright </w:t>
    </w:r>
    <w:r w:rsidRPr="001F69EA">
      <w:fldChar w:fldCharType="begin"/>
    </w:r>
    <w:r w:rsidRPr="001F69EA">
      <w:instrText xml:space="preserve"> DATE  \@ "yyyy" \* MERGEFORMAT </w:instrText>
    </w:r>
    <w:r w:rsidRPr="001F69EA">
      <w:fldChar w:fldCharType="separate"/>
    </w:r>
    <w:r w:rsidR="004D399B">
      <w:rPr>
        <w:noProof/>
      </w:rPr>
      <w:t>2026</w:t>
    </w:r>
    <w:r w:rsidRPr="001F69EA">
      <w:fldChar w:fldCharType="end"/>
    </w:r>
    <w:r w:rsidRPr="001F69EA">
      <w:t xml:space="preserve"> by The ERM International Group Limited and/or its affiliates (‘ERM’). All Rights Reserved. </w:t>
    </w:r>
    <w:r w:rsidRPr="001F69EA">
      <w:br/>
      <w:t>No part of this work may be reproduced or transmitted in any form or by any means, without prior written permission of ERM.</w:t>
    </w:r>
    <w:r w:rsidRPr="001F69EA">
      <w:rPr>
        <w:rFonts w:asciiTheme="majorHAnsi" w:hAnsiTheme="majorHAnsi" w:cs="Times New Roman (Body CS)"/>
        <w:b/>
        <w:bCs/>
        <w:sz w:val="18"/>
        <w:szCs w:val="18"/>
      </w:rPr>
      <w:tab/>
    </w:r>
    <w:r w:rsidRPr="001F69EA">
      <w:rPr>
        <w:rStyle w:val="PageNumber"/>
      </w:rPr>
      <w:t xml:space="preserve">Page </w:t>
    </w:r>
    <w:r w:rsidRPr="001F69EA">
      <w:rPr>
        <w:rStyle w:val="PageNumber"/>
      </w:rPr>
      <w:fldChar w:fldCharType="begin"/>
    </w:r>
    <w:r w:rsidRPr="001F69EA">
      <w:rPr>
        <w:rStyle w:val="PageNumber"/>
      </w:rPr>
      <w:instrText xml:space="preserve"> PAGE </w:instrText>
    </w:r>
    <w:r w:rsidRPr="001F69EA">
      <w:rPr>
        <w:rStyle w:val="PageNumber"/>
      </w:rPr>
      <w:fldChar w:fldCharType="separate"/>
    </w:r>
    <w:r w:rsidRPr="001F69EA">
      <w:rPr>
        <w:rStyle w:val="PageNumber"/>
      </w:rPr>
      <w:t>2</w:t>
    </w:r>
    <w:r w:rsidRPr="001F69EA">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A4BE3" w14:textId="77777777" w:rsidR="00B47FDB" w:rsidRPr="001F69EA" w:rsidRDefault="00B47FDB" w:rsidP="0076376A">
      <w:pPr>
        <w:spacing w:after="0" w:line="240" w:lineRule="auto"/>
      </w:pPr>
      <w:r w:rsidRPr="001F69EA">
        <w:separator/>
      </w:r>
    </w:p>
  </w:footnote>
  <w:footnote w:type="continuationSeparator" w:id="0">
    <w:p w14:paraId="3F10A987" w14:textId="77777777" w:rsidR="00B47FDB" w:rsidRPr="001F69EA" w:rsidRDefault="00B47FDB" w:rsidP="00A92AF9">
      <w:pPr>
        <w:pStyle w:val="Footer"/>
        <w:ind w:left="0"/>
      </w:pPr>
    </w:p>
  </w:footnote>
  <w:footnote w:type="continuationNotice" w:id="1">
    <w:p w14:paraId="48F8CE45" w14:textId="77777777" w:rsidR="00B47FDB" w:rsidRPr="001F69EA" w:rsidRDefault="00B47FDB" w:rsidP="00A92AF9">
      <w:pPr>
        <w:pStyle w:val="Footer"/>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0A7E1EE2" w:rsidRPr="001F69EA" w14:paraId="6E336803" w14:textId="77777777" w:rsidTr="0A7E1EE2">
      <w:trPr>
        <w:trHeight w:val="300"/>
      </w:trPr>
      <w:tc>
        <w:tcPr>
          <w:tcW w:w="3320" w:type="dxa"/>
        </w:tcPr>
        <w:p w14:paraId="20892B53" w14:textId="46360646" w:rsidR="0A7E1EE2" w:rsidRPr="001F69EA" w:rsidRDefault="0A7E1EE2" w:rsidP="0A7E1EE2">
          <w:pPr>
            <w:pStyle w:val="Header"/>
            <w:ind w:left="-115"/>
          </w:pPr>
        </w:p>
      </w:tc>
      <w:tc>
        <w:tcPr>
          <w:tcW w:w="3320" w:type="dxa"/>
        </w:tcPr>
        <w:p w14:paraId="2306629A" w14:textId="78C9F41C" w:rsidR="0A7E1EE2" w:rsidRPr="001F69EA" w:rsidRDefault="0A7E1EE2" w:rsidP="0A7E1EE2">
          <w:pPr>
            <w:pStyle w:val="Header"/>
            <w:jc w:val="center"/>
          </w:pPr>
        </w:p>
      </w:tc>
      <w:tc>
        <w:tcPr>
          <w:tcW w:w="3320" w:type="dxa"/>
        </w:tcPr>
        <w:p w14:paraId="6F17099F" w14:textId="261743DC" w:rsidR="0A7E1EE2" w:rsidRPr="001F69EA" w:rsidRDefault="0A7E1EE2" w:rsidP="0A7E1EE2">
          <w:pPr>
            <w:pStyle w:val="Header"/>
            <w:ind w:right="-115"/>
            <w:jc w:val="right"/>
          </w:pPr>
        </w:p>
      </w:tc>
    </w:tr>
  </w:tbl>
  <w:p w14:paraId="04EFD47A" w14:textId="2414426E" w:rsidR="0A7E1EE2" w:rsidRPr="001F69EA" w:rsidRDefault="0A7E1EE2" w:rsidP="0A7E1E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C26F" w14:textId="77777777" w:rsidR="00CC75F5" w:rsidRPr="001F69EA" w:rsidRDefault="00CC75F5" w:rsidP="00E4699C">
    <w:pPr>
      <w:pStyle w:val="Header"/>
      <w:spacing w:after="1600"/>
    </w:pPr>
    <w:r w:rsidRPr="001F69EA">
      <w:rPr>
        <w:noProof/>
      </w:rPr>
      <w:drawing>
        <wp:anchor distT="0" distB="0" distL="114300" distR="114300" simplePos="0" relativeHeight="251658240" behindDoc="0" locked="1" layoutInCell="1" allowOverlap="1" wp14:anchorId="3F784A71" wp14:editId="04CCB4DC">
          <wp:simplePos x="0" y="0"/>
          <wp:positionH relativeFrom="page">
            <wp:posOffset>540385</wp:posOffset>
          </wp:positionH>
          <wp:positionV relativeFrom="page">
            <wp:posOffset>360045</wp:posOffset>
          </wp:positionV>
          <wp:extent cx="1800000" cy="702000"/>
          <wp:effectExtent l="0" t="0" r="3810" b="0"/>
          <wp:wrapNone/>
          <wp:docPr id="2012235342" name="Graphic 2012235342"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35342" name="Graphic 2012235342"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00000" cy="7020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QVMLOEaZh++H1o" int2:id="IiwvSNs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2DC"/>
    <w:multiLevelType w:val="multilevel"/>
    <w:tmpl w:val="C33C66A4"/>
    <w:styleLink w:val="CurrentList6"/>
    <w:lvl w:ilvl="0">
      <w:start w:val="1"/>
      <w:numFmt w:val="bullet"/>
      <w:lvlText w:val="•"/>
      <w:lvlJc w:val="left"/>
      <w:pPr>
        <w:ind w:left="397" w:hanging="397"/>
      </w:pPr>
      <w:rPr>
        <w:rFonts w:ascii="Verdana" w:hAnsi="Verdana" w:hint="default"/>
      </w:rPr>
    </w:lvl>
    <w:lvl w:ilvl="1">
      <w:start w:val="1"/>
      <w:numFmt w:val="bullet"/>
      <w:lvlText w:val="o"/>
      <w:lvlJc w:val="left"/>
      <w:pPr>
        <w:ind w:left="757" w:hanging="360"/>
      </w:pPr>
      <w:rPr>
        <w:rFonts w:ascii="Courier New" w:hAnsi="Courier New" w:cs="Courier New" w:hint="default"/>
      </w:rPr>
    </w:lvl>
    <w:lvl w:ilvl="2">
      <w:start w:val="1"/>
      <w:numFmt w:val="bullet"/>
      <w:lvlText w:val="-"/>
      <w:lvlJc w:val="left"/>
      <w:pPr>
        <w:ind w:left="1191" w:hanging="397"/>
      </w:pPr>
      <w:rPr>
        <w:rFonts w:ascii="Georgia" w:hAnsi="Georgia" w:hint="default"/>
      </w:rPr>
    </w:lvl>
    <w:lvl w:ilvl="3">
      <w:start w:val="1"/>
      <w:numFmt w:val="bullet"/>
      <w:lvlText w:val=""/>
      <w:lvlJc w:val="left"/>
      <w:pPr>
        <w:ind w:left="1551" w:hanging="360"/>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1DA34A2"/>
    <w:multiLevelType w:val="multilevel"/>
    <w:tmpl w:val="46326E34"/>
    <w:styleLink w:val="CurrentList12"/>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2" w15:restartNumberingAfterBreak="0">
    <w:nsid w:val="05291FAE"/>
    <w:multiLevelType w:val="hybridMultilevel"/>
    <w:tmpl w:val="33F4A48C"/>
    <w:name w:val="ERM List 132"/>
    <w:lvl w:ilvl="0" w:tplc="845AE436">
      <w:start w:val="1"/>
      <w:numFmt w:val="lowerRoman"/>
      <w:lvlText w:val="%1."/>
      <w:lvlJc w:val="right"/>
      <w:pPr>
        <w:ind w:left="2024" w:hanging="360"/>
      </w:pPr>
    </w:lvl>
    <w:lvl w:ilvl="1" w:tplc="08090019" w:tentative="1">
      <w:start w:val="1"/>
      <w:numFmt w:val="lowerLetter"/>
      <w:lvlText w:val="%2."/>
      <w:lvlJc w:val="left"/>
      <w:pPr>
        <w:ind w:left="2744" w:hanging="360"/>
      </w:pPr>
    </w:lvl>
    <w:lvl w:ilvl="2" w:tplc="0809001B" w:tentative="1">
      <w:start w:val="1"/>
      <w:numFmt w:val="lowerRoman"/>
      <w:lvlText w:val="%3."/>
      <w:lvlJc w:val="right"/>
      <w:pPr>
        <w:ind w:left="3464" w:hanging="180"/>
      </w:pPr>
    </w:lvl>
    <w:lvl w:ilvl="3" w:tplc="0809000F" w:tentative="1">
      <w:start w:val="1"/>
      <w:numFmt w:val="decimal"/>
      <w:lvlText w:val="%4."/>
      <w:lvlJc w:val="left"/>
      <w:pPr>
        <w:ind w:left="4184" w:hanging="360"/>
      </w:pPr>
    </w:lvl>
    <w:lvl w:ilvl="4" w:tplc="08090019" w:tentative="1">
      <w:start w:val="1"/>
      <w:numFmt w:val="lowerLetter"/>
      <w:lvlText w:val="%5."/>
      <w:lvlJc w:val="left"/>
      <w:pPr>
        <w:ind w:left="4904" w:hanging="360"/>
      </w:pPr>
    </w:lvl>
    <w:lvl w:ilvl="5" w:tplc="0809001B" w:tentative="1">
      <w:start w:val="1"/>
      <w:numFmt w:val="lowerRoman"/>
      <w:lvlText w:val="%6."/>
      <w:lvlJc w:val="right"/>
      <w:pPr>
        <w:ind w:left="5624" w:hanging="180"/>
      </w:pPr>
    </w:lvl>
    <w:lvl w:ilvl="6" w:tplc="0809000F" w:tentative="1">
      <w:start w:val="1"/>
      <w:numFmt w:val="decimal"/>
      <w:lvlText w:val="%7."/>
      <w:lvlJc w:val="left"/>
      <w:pPr>
        <w:ind w:left="6344" w:hanging="360"/>
      </w:pPr>
    </w:lvl>
    <w:lvl w:ilvl="7" w:tplc="08090019" w:tentative="1">
      <w:start w:val="1"/>
      <w:numFmt w:val="lowerLetter"/>
      <w:lvlText w:val="%8."/>
      <w:lvlJc w:val="left"/>
      <w:pPr>
        <w:ind w:left="7064" w:hanging="360"/>
      </w:pPr>
    </w:lvl>
    <w:lvl w:ilvl="8" w:tplc="0809001B" w:tentative="1">
      <w:start w:val="1"/>
      <w:numFmt w:val="lowerRoman"/>
      <w:lvlText w:val="%9."/>
      <w:lvlJc w:val="right"/>
      <w:pPr>
        <w:ind w:left="7784" w:hanging="180"/>
      </w:pPr>
    </w:lvl>
  </w:abstractNum>
  <w:abstractNum w:abstractNumId="3" w15:restartNumberingAfterBreak="0">
    <w:nsid w:val="0843203A"/>
    <w:multiLevelType w:val="hybridMultilevel"/>
    <w:tmpl w:val="EC481F0A"/>
    <w:lvl w:ilvl="0" w:tplc="84681364">
      <w:start w:val="1"/>
      <w:numFmt w:val="decimal"/>
      <w:pStyle w:val="Tablenumb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3A22DE"/>
    <w:multiLevelType w:val="multilevel"/>
    <w:tmpl w:val="D70682CC"/>
    <w:styleLink w:val="CurrentList4"/>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C8D5C56"/>
    <w:multiLevelType w:val="multilevel"/>
    <w:tmpl w:val="B09CDF4E"/>
    <w:name w:val="ERM Bullet 1"/>
    <w:lvl w:ilvl="0">
      <w:start w:val="1"/>
      <w:numFmt w:val="bullet"/>
      <w:pStyle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position w:val="-5"/>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2D240A87"/>
    <w:multiLevelType w:val="multilevel"/>
    <w:tmpl w:val="0809001D"/>
    <w:name w:val="ERM Bullet 1222"/>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6E701CE"/>
    <w:multiLevelType w:val="hybridMultilevel"/>
    <w:tmpl w:val="6F44E8C8"/>
    <w:lvl w:ilvl="0" w:tplc="BFEEA7D2">
      <w:start w:val="1"/>
      <w:numFmt w:val="bullet"/>
      <w:lvlText w:val=""/>
      <w:lvlJc w:val="left"/>
      <w:pPr>
        <w:ind w:left="720" w:hanging="360"/>
      </w:pPr>
      <w:rPr>
        <w:rFonts w:ascii="Symbol" w:hAnsi="Symbol" w:hint="default"/>
      </w:rPr>
    </w:lvl>
    <w:lvl w:ilvl="1" w:tplc="AABA5148">
      <w:start w:val="1"/>
      <w:numFmt w:val="bullet"/>
      <w:lvlText w:val="o"/>
      <w:lvlJc w:val="left"/>
      <w:pPr>
        <w:ind w:left="1440" w:hanging="360"/>
      </w:pPr>
      <w:rPr>
        <w:rFonts w:ascii="Courier New" w:hAnsi="Courier New" w:hint="default"/>
      </w:rPr>
    </w:lvl>
    <w:lvl w:ilvl="2" w:tplc="A044C9B8">
      <w:start w:val="1"/>
      <w:numFmt w:val="bullet"/>
      <w:lvlText w:val=""/>
      <w:lvlJc w:val="left"/>
      <w:pPr>
        <w:ind w:left="2160" w:hanging="360"/>
      </w:pPr>
      <w:rPr>
        <w:rFonts w:ascii="Wingdings,Sans-Serif" w:hAnsi="Wingdings,Sans-Serif" w:hint="default"/>
      </w:rPr>
    </w:lvl>
    <w:lvl w:ilvl="3" w:tplc="1786E3BE">
      <w:start w:val="1"/>
      <w:numFmt w:val="bullet"/>
      <w:lvlText w:val=""/>
      <w:lvlJc w:val="left"/>
      <w:pPr>
        <w:ind w:left="2880" w:hanging="360"/>
      </w:pPr>
      <w:rPr>
        <w:rFonts w:ascii="Symbol" w:hAnsi="Symbol" w:hint="default"/>
      </w:rPr>
    </w:lvl>
    <w:lvl w:ilvl="4" w:tplc="931052F4">
      <w:start w:val="1"/>
      <w:numFmt w:val="bullet"/>
      <w:lvlText w:val="o"/>
      <w:lvlJc w:val="left"/>
      <w:pPr>
        <w:ind w:left="3600" w:hanging="360"/>
      </w:pPr>
      <w:rPr>
        <w:rFonts w:ascii="Courier New" w:hAnsi="Courier New" w:hint="default"/>
      </w:rPr>
    </w:lvl>
    <w:lvl w:ilvl="5" w:tplc="D67040F6">
      <w:start w:val="1"/>
      <w:numFmt w:val="bullet"/>
      <w:lvlText w:val=""/>
      <w:lvlJc w:val="left"/>
      <w:pPr>
        <w:ind w:left="4320" w:hanging="360"/>
      </w:pPr>
      <w:rPr>
        <w:rFonts w:ascii="Wingdings" w:hAnsi="Wingdings" w:hint="default"/>
      </w:rPr>
    </w:lvl>
    <w:lvl w:ilvl="6" w:tplc="AC7A6B5A">
      <w:start w:val="1"/>
      <w:numFmt w:val="bullet"/>
      <w:lvlText w:val=""/>
      <w:lvlJc w:val="left"/>
      <w:pPr>
        <w:ind w:left="5040" w:hanging="360"/>
      </w:pPr>
      <w:rPr>
        <w:rFonts w:ascii="Symbol" w:hAnsi="Symbol" w:hint="default"/>
      </w:rPr>
    </w:lvl>
    <w:lvl w:ilvl="7" w:tplc="BC963720">
      <w:start w:val="1"/>
      <w:numFmt w:val="bullet"/>
      <w:lvlText w:val="o"/>
      <w:lvlJc w:val="left"/>
      <w:pPr>
        <w:ind w:left="5760" w:hanging="360"/>
      </w:pPr>
      <w:rPr>
        <w:rFonts w:ascii="Courier New" w:hAnsi="Courier New" w:hint="default"/>
      </w:rPr>
    </w:lvl>
    <w:lvl w:ilvl="8" w:tplc="249A9282">
      <w:start w:val="1"/>
      <w:numFmt w:val="bullet"/>
      <w:lvlText w:val=""/>
      <w:lvlJc w:val="left"/>
      <w:pPr>
        <w:ind w:left="6480" w:hanging="360"/>
      </w:pPr>
      <w:rPr>
        <w:rFonts w:ascii="Wingdings" w:hAnsi="Wingdings" w:hint="default"/>
      </w:rPr>
    </w:lvl>
  </w:abstractNum>
  <w:abstractNum w:abstractNumId="8" w15:restartNumberingAfterBreak="0">
    <w:nsid w:val="49C20B33"/>
    <w:multiLevelType w:val="hybridMultilevel"/>
    <w:tmpl w:val="2F147B90"/>
    <w:lvl w:ilvl="0" w:tplc="B7665BAC">
      <w:start w:val="1"/>
      <w:numFmt w:val="bullet"/>
      <w:lvlText w:val=""/>
      <w:lvlJc w:val="left"/>
      <w:pPr>
        <w:ind w:left="720" w:hanging="360"/>
      </w:pPr>
      <w:rPr>
        <w:rFonts w:ascii="Symbol" w:hAnsi="Symbol" w:hint="default"/>
      </w:rPr>
    </w:lvl>
    <w:lvl w:ilvl="1" w:tplc="31BC862A">
      <w:start w:val="1"/>
      <w:numFmt w:val="bullet"/>
      <w:lvlText w:val="o"/>
      <w:lvlJc w:val="left"/>
      <w:pPr>
        <w:ind w:left="1440" w:hanging="360"/>
      </w:pPr>
      <w:rPr>
        <w:rFonts w:ascii="Courier New" w:hAnsi="Courier New" w:hint="default"/>
      </w:rPr>
    </w:lvl>
    <w:lvl w:ilvl="2" w:tplc="A27E47B6">
      <w:start w:val="1"/>
      <w:numFmt w:val="bullet"/>
      <w:lvlText w:val=""/>
      <w:lvlJc w:val="left"/>
      <w:pPr>
        <w:ind w:left="2160" w:hanging="360"/>
      </w:pPr>
      <w:rPr>
        <w:rFonts w:ascii="Wingdings,Sans-Serif" w:hAnsi="Wingdings,Sans-Serif" w:hint="default"/>
      </w:rPr>
    </w:lvl>
    <w:lvl w:ilvl="3" w:tplc="5F4C8140">
      <w:start w:val="1"/>
      <w:numFmt w:val="bullet"/>
      <w:lvlText w:val=""/>
      <w:lvlJc w:val="left"/>
      <w:pPr>
        <w:ind w:left="2880" w:hanging="360"/>
      </w:pPr>
      <w:rPr>
        <w:rFonts w:ascii="Symbol" w:hAnsi="Symbol" w:hint="default"/>
      </w:rPr>
    </w:lvl>
    <w:lvl w:ilvl="4" w:tplc="07128278">
      <w:start w:val="1"/>
      <w:numFmt w:val="bullet"/>
      <w:lvlText w:val="o"/>
      <w:lvlJc w:val="left"/>
      <w:pPr>
        <w:ind w:left="3600" w:hanging="360"/>
      </w:pPr>
      <w:rPr>
        <w:rFonts w:ascii="Courier New" w:hAnsi="Courier New" w:hint="default"/>
      </w:rPr>
    </w:lvl>
    <w:lvl w:ilvl="5" w:tplc="CECAD37A">
      <w:start w:val="1"/>
      <w:numFmt w:val="bullet"/>
      <w:lvlText w:val=""/>
      <w:lvlJc w:val="left"/>
      <w:pPr>
        <w:ind w:left="4320" w:hanging="360"/>
      </w:pPr>
      <w:rPr>
        <w:rFonts w:ascii="Wingdings" w:hAnsi="Wingdings" w:hint="default"/>
      </w:rPr>
    </w:lvl>
    <w:lvl w:ilvl="6" w:tplc="7520CE32">
      <w:start w:val="1"/>
      <w:numFmt w:val="bullet"/>
      <w:lvlText w:val=""/>
      <w:lvlJc w:val="left"/>
      <w:pPr>
        <w:ind w:left="5040" w:hanging="360"/>
      </w:pPr>
      <w:rPr>
        <w:rFonts w:ascii="Symbol" w:hAnsi="Symbol" w:hint="default"/>
      </w:rPr>
    </w:lvl>
    <w:lvl w:ilvl="7" w:tplc="D20E1678">
      <w:start w:val="1"/>
      <w:numFmt w:val="bullet"/>
      <w:lvlText w:val="o"/>
      <w:lvlJc w:val="left"/>
      <w:pPr>
        <w:ind w:left="5760" w:hanging="360"/>
      </w:pPr>
      <w:rPr>
        <w:rFonts w:ascii="Courier New" w:hAnsi="Courier New" w:hint="default"/>
      </w:rPr>
    </w:lvl>
    <w:lvl w:ilvl="8" w:tplc="7C4C0BA6">
      <w:start w:val="1"/>
      <w:numFmt w:val="bullet"/>
      <w:lvlText w:val=""/>
      <w:lvlJc w:val="left"/>
      <w:pPr>
        <w:ind w:left="6480" w:hanging="360"/>
      </w:pPr>
      <w:rPr>
        <w:rFonts w:ascii="Wingdings" w:hAnsi="Wingdings" w:hint="default"/>
      </w:rPr>
    </w:lvl>
  </w:abstractNum>
  <w:abstractNum w:abstractNumId="9" w15:restartNumberingAfterBreak="0">
    <w:nsid w:val="51F9002E"/>
    <w:multiLevelType w:val="hybridMultilevel"/>
    <w:tmpl w:val="8F423E3A"/>
    <w:name w:val="ERM List 12"/>
    <w:lvl w:ilvl="0" w:tplc="AC06CF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1922FB"/>
    <w:multiLevelType w:val="hybridMultilevel"/>
    <w:tmpl w:val="F162CC86"/>
    <w:lvl w:ilvl="0" w:tplc="BECAF3D2">
      <w:start w:val="1"/>
      <w:numFmt w:val="bullet"/>
      <w:lvlText w:val=""/>
      <w:lvlJc w:val="left"/>
      <w:pPr>
        <w:ind w:left="360" w:hanging="360"/>
      </w:pPr>
      <w:rPr>
        <w:rFonts w:ascii="Symbol" w:hAnsi="Symbol" w:hint="default"/>
      </w:rPr>
    </w:lvl>
    <w:lvl w:ilvl="1" w:tplc="51B86D22">
      <w:start w:val="1"/>
      <w:numFmt w:val="bullet"/>
      <w:lvlText w:val=""/>
      <w:lvlJc w:val="left"/>
      <w:pPr>
        <w:ind w:left="1080" w:hanging="360"/>
      </w:pPr>
      <w:rPr>
        <w:rFonts w:ascii="Arial,Sans-Serif" w:hAnsi="Arial,Sans-Serif" w:hint="default"/>
      </w:rPr>
    </w:lvl>
    <w:lvl w:ilvl="2" w:tplc="25849828">
      <w:start w:val="1"/>
      <w:numFmt w:val="bullet"/>
      <w:lvlText w:val=""/>
      <w:lvlJc w:val="left"/>
      <w:pPr>
        <w:ind w:left="1800" w:hanging="360"/>
      </w:pPr>
      <w:rPr>
        <w:rFonts w:ascii="Wingdings" w:hAnsi="Wingdings" w:hint="default"/>
      </w:rPr>
    </w:lvl>
    <w:lvl w:ilvl="3" w:tplc="A6A81868">
      <w:start w:val="1"/>
      <w:numFmt w:val="bullet"/>
      <w:lvlText w:val=""/>
      <w:lvlJc w:val="left"/>
      <w:pPr>
        <w:ind w:left="2520" w:hanging="360"/>
      </w:pPr>
      <w:rPr>
        <w:rFonts w:ascii="Symbol" w:hAnsi="Symbol" w:hint="default"/>
      </w:rPr>
    </w:lvl>
    <w:lvl w:ilvl="4" w:tplc="A634A7E0">
      <w:start w:val="1"/>
      <w:numFmt w:val="bullet"/>
      <w:lvlText w:val="o"/>
      <w:lvlJc w:val="left"/>
      <w:pPr>
        <w:ind w:left="3240" w:hanging="360"/>
      </w:pPr>
      <w:rPr>
        <w:rFonts w:ascii="Courier New" w:hAnsi="Courier New" w:hint="default"/>
      </w:rPr>
    </w:lvl>
    <w:lvl w:ilvl="5" w:tplc="CDD60692">
      <w:start w:val="1"/>
      <w:numFmt w:val="bullet"/>
      <w:lvlText w:val=""/>
      <w:lvlJc w:val="left"/>
      <w:pPr>
        <w:ind w:left="3960" w:hanging="360"/>
      </w:pPr>
      <w:rPr>
        <w:rFonts w:ascii="Wingdings" w:hAnsi="Wingdings" w:hint="default"/>
      </w:rPr>
    </w:lvl>
    <w:lvl w:ilvl="6" w:tplc="88A6E4E4">
      <w:start w:val="1"/>
      <w:numFmt w:val="bullet"/>
      <w:lvlText w:val=""/>
      <w:lvlJc w:val="left"/>
      <w:pPr>
        <w:ind w:left="4680" w:hanging="360"/>
      </w:pPr>
      <w:rPr>
        <w:rFonts w:ascii="Symbol" w:hAnsi="Symbol" w:hint="default"/>
      </w:rPr>
    </w:lvl>
    <w:lvl w:ilvl="7" w:tplc="9D0438CE">
      <w:start w:val="1"/>
      <w:numFmt w:val="bullet"/>
      <w:lvlText w:val="o"/>
      <w:lvlJc w:val="left"/>
      <w:pPr>
        <w:ind w:left="5400" w:hanging="360"/>
      </w:pPr>
      <w:rPr>
        <w:rFonts w:ascii="Courier New" w:hAnsi="Courier New" w:hint="default"/>
      </w:rPr>
    </w:lvl>
    <w:lvl w:ilvl="8" w:tplc="A76A2632">
      <w:start w:val="1"/>
      <w:numFmt w:val="bullet"/>
      <w:lvlText w:val=""/>
      <w:lvlJc w:val="left"/>
      <w:pPr>
        <w:ind w:left="6120" w:hanging="360"/>
      </w:pPr>
      <w:rPr>
        <w:rFonts w:ascii="Wingdings" w:hAnsi="Wingdings" w:hint="default"/>
      </w:rPr>
    </w:lvl>
  </w:abstractNum>
  <w:abstractNum w:abstractNumId="11" w15:restartNumberingAfterBreak="0">
    <w:nsid w:val="55FA1FF8"/>
    <w:multiLevelType w:val="multilevel"/>
    <w:tmpl w:val="46326E34"/>
    <w:styleLink w:val="CurrentList11"/>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12" w15:restartNumberingAfterBreak="0">
    <w:nsid w:val="57CE4FFD"/>
    <w:multiLevelType w:val="hybridMultilevel"/>
    <w:tmpl w:val="93D4D0FE"/>
    <w:lvl w:ilvl="0" w:tplc="2EA62370">
      <w:start w:val="1"/>
      <w:numFmt w:val="upperLetter"/>
      <w:pStyle w:val="AppendixHeading"/>
      <w:lvlText w:val="Attachment %1"/>
      <w:lvlJc w:val="left"/>
      <w:pPr>
        <w:ind w:left="397" w:hanging="39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A4633F"/>
    <w:multiLevelType w:val="multilevel"/>
    <w:tmpl w:val="F79A75A2"/>
    <w:styleLink w:val="CurrentList3"/>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14" w15:restartNumberingAfterBreak="0">
    <w:nsid w:val="59DE60DF"/>
    <w:multiLevelType w:val="multilevel"/>
    <w:tmpl w:val="379E2C80"/>
    <w:styleLink w:val="CurrentList8"/>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15" w15:restartNumberingAfterBreak="0">
    <w:nsid w:val="5AB356E5"/>
    <w:multiLevelType w:val="multilevel"/>
    <w:tmpl w:val="6DD86C66"/>
    <w:styleLink w:val="CurrentList5"/>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DDA36BA"/>
    <w:multiLevelType w:val="hybridMultilevel"/>
    <w:tmpl w:val="C352DE10"/>
    <w:lvl w:ilvl="0" w:tplc="861AF6C2">
      <w:start w:val="1"/>
      <w:numFmt w:val="bullet"/>
      <w:pStyle w:val="TableBullet2"/>
      <w:lvlText w:val="°"/>
      <w:lvlJc w:val="left"/>
      <w:pPr>
        <w:ind w:left="360" w:hanging="360"/>
      </w:pPr>
      <w:rPr>
        <w:rFonts w:ascii="Verdana" w:hAnsi="Verdana" w:hint="default"/>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D1A42A"/>
    <w:multiLevelType w:val="hybridMultilevel"/>
    <w:tmpl w:val="B49EA028"/>
    <w:lvl w:ilvl="0" w:tplc="D130CE98">
      <w:start w:val="1"/>
      <w:numFmt w:val="bullet"/>
      <w:lvlText w:val=""/>
      <w:lvlJc w:val="left"/>
      <w:pPr>
        <w:ind w:left="720" w:hanging="360"/>
      </w:pPr>
      <w:rPr>
        <w:rFonts w:ascii="Symbol" w:hAnsi="Symbol" w:hint="default"/>
      </w:rPr>
    </w:lvl>
    <w:lvl w:ilvl="1" w:tplc="1286DBC6">
      <w:start w:val="1"/>
      <w:numFmt w:val="bullet"/>
      <w:lvlText w:val="o"/>
      <w:lvlJc w:val="left"/>
      <w:pPr>
        <w:ind w:left="1440" w:hanging="360"/>
      </w:pPr>
      <w:rPr>
        <w:rFonts w:ascii="Courier New" w:hAnsi="Courier New" w:hint="default"/>
      </w:rPr>
    </w:lvl>
    <w:lvl w:ilvl="2" w:tplc="DCB0E5C8">
      <w:start w:val="1"/>
      <w:numFmt w:val="bullet"/>
      <w:lvlText w:val=""/>
      <w:lvlJc w:val="left"/>
      <w:pPr>
        <w:ind w:left="2160" w:hanging="360"/>
      </w:pPr>
      <w:rPr>
        <w:rFonts w:ascii="Wingdings" w:hAnsi="Wingdings" w:hint="default"/>
      </w:rPr>
    </w:lvl>
    <w:lvl w:ilvl="3" w:tplc="B846F24C">
      <w:start w:val="1"/>
      <w:numFmt w:val="bullet"/>
      <w:lvlText w:val=""/>
      <w:lvlJc w:val="left"/>
      <w:pPr>
        <w:ind w:left="2880" w:hanging="360"/>
      </w:pPr>
      <w:rPr>
        <w:rFonts w:ascii="Symbol" w:hAnsi="Symbol" w:hint="default"/>
      </w:rPr>
    </w:lvl>
    <w:lvl w:ilvl="4" w:tplc="0BD65E7E">
      <w:start w:val="1"/>
      <w:numFmt w:val="bullet"/>
      <w:lvlText w:val="o"/>
      <w:lvlJc w:val="left"/>
      <w:pPr>
        <w:ind w:left="3600" w:hanging="360"/>
      </w:pPr>
      <w:rPr>
        <w:rFonts w:ascii="Courier New" w:hAnsi="Courier New" w:hint="default"/>
      </w:rPr>
    </w:lvl>
    <w:lvl w:ilvl="5" w:tplc="6178CC9C">
      <w:start w:val="1"/>
      <w:numFmt w:val="bullet"/>
      <w:lvlText w:val=""/>
      <w:lvlJc w:val="left"/>
      <w:pPr>
        <w:ind w:left="4320" w:hanging="360"/>
      </w:pPr>
      <w:rPr>
        <w:rFonts w:ascii="Wingdings" w:hAnsi="Wingdings" w:hint="default"/>
      </w:rPr>
    </w:lvl>
    <w:lvl w:ilvl="6" w:tplc="251E5418">
      <w:start w:val="1"/>
      <w:numFmt w:val="bullet"/>
      <w:lvlText w:val=""/>
      <w:lvlJc w:val="left"/>
      <w:pPr>
        <w:ind w:left="5040" w:hanging="360"/>
      </w:pPr>
      <w:rPr>
        <w:rFonts w:ascii="Symbol" w:hAnsi="Symbol" w:hint="default"/>
      </w:rPr>
    </w:lvl>
    <w:lvl w:ilvl="7" w:tplc="B546E992">
      <w:start w:val="1"/>
      <w:numFmt w:val="bullet"/>
      <w:lvlText w:val="o"/>
      <w:lvlJc w:val="left"/>
      <w:pPr>
        <w:ind w:left="5760" w:hanging="360"/>
      </w:pPr>
      <w:rPr>
        <w:rFonts w:ascii="Courier New" w:hAnsi="Courier New" w:hint="default"/>
      </w:rPr>
    </w:lvl>
    <w:lvl w:ilvl="8" w:tplc="1172B680">
      <w:start w:val="1"/>
      <w:numFmt w:val="bullet"/>
      <w:lvlText w:val=""/>
      <w:lvlJc w:val="left"/>
      <w:pPr>
        <w:ind w:left="6480" w:hanging="360"/>
      </w:pPr>
      <w:rPr>
        <w:rFonts w:ascii="Wingdings" w:hAnsi="Wingdings" w:hint="default"/>
      </w:rPr>
    </w:lvl>
  </w:abstractNum>
  <w:abstractNum w:abstractNumId="18" w15:restartNumberingAfterBreak="0">
    <w:nsid w:val="62D30A18"/>
    <w:multiLevelType w:val="multilevel"/>
    <w:tmpl w:val="46326E34"/>
    <w:styleLink w:val="CurrentList9"/>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19" w15:restartNumberingAfterBreak="0">
    <w:nsid w:val="641668F4"/>
    <w:multiLevelType w:val="multilevel"/>
    <w:tmpl w:val="496AE266"/>
    <w:styleLink w:val="CurrentList1"/>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tabs>
          <w:tab w:val="num" w:pos="1814"/>
        </w:tabs>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20" w15:restartNumberingAfterBreak="0">
    <w:nsid w:val="694A789A"/>
    <w:multiLevelType w:val="hybridMultilevel"/>
    <w:tmpl w:val="494677CE"/>
    <w:lvl w:ilvl="0" w:tplc="A8C87274">
      <w:start w:val="1"/>
      <w:numFmt w:val="bullet"/>
      <w:pStyle w:val="TableBullet1"/>
      <w:lvlText w:val="•"/>
      <w:lvlJc w:val="left"/>
      <w:pPr>
        <w:ind w:left="36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522FC3"/>
    <w:multiLevelType w:val="multilevel"/>
    <w:tmpl w:val="46326E34"/>
    <w:styleLink w:val="CurrentList10"/>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22" w15:restartNumberingAfterBreak="0">
    <w:nsid w:val="6E5C1734"/>
    <w:multiLevelType w:val="multilevel"/>
    <w:tmpl w:val="FCF04A9E"/>
    <w:name w:val="ERM List 3"/>
    <w:lvl w:ilvl="0">
      <w:start w:val="1"/>
      <w:numFmt w:val="decimal"/>
      <w:pStyle w:val="NumberedTex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tabs>
          <w:tab w:val="num" w:pos="2268"/>
        </w:tabs>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23" w15:restartNumberingAfterBreak="0">
    <w:nsid w:val="71A47737"/>
    <w:multiLevelType w:val="multilevel"/>
    <w:tmpl w:val="55CE4272"/>
    <w:name w:val="ERM List 2"/>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24" w15:restartNumberingAfterBreak="0">
    <w:nsid w:val="76B43A39"/>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78D39D0"/>
    <w:multiLevelType w:val="multilevel"/>
    <w:tmpl w:val="496AE266"/>
    <w:styleLink w:val="CurrentList2"/>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tabs>
          <w:tab w:val="num" w:pos="1814"/>
        </w:tabs>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26" w15:restartNumberingAfterBreak="0">
    <w:nsid w:val="781E575C"/>
    <w:multiLevelType w:val="multilevel"/>
    <w:tmpl w:val="46326E34"/>
    <w:name w:val="ERM List 1"/>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pStyle w:val="Heading5"/>
      <w:lvlText w:val="%5"/>
      <w:lvlJc w:val="left"/>
      <w:pPr>
        <w:ind w:left="0" w:firstLine="0"/>
      </w:pPr>
      <w:rPr>
        <w:rFonts w:hint="default"/>
      </w:rPr>
    </w:lvl>
    <w:lvl w:ilvl="5">
      <w:start w:val="1"/>
      <w:numFmt w:val="none"/>
      <w:pStyle w:val="Heading6"/>
      <w:lvlText w:val="%6"/>
      <w:lvlJc w:val="left"/>
      <w:pPr>
        <w:ind w:left="0" w:firstLine="0"/>
      </w:pPr>
      <w:rPr>
        <w:rFonts w:hint="default"/>
      </w:rPr>
    </w:lvl>
    <w:lvl w:ilvl="6">
      <w:start w:val="1"/>
      <w:numFmt w:val="decimal"/>
      <w:pStyle w:val="ListNumber"/>
      <w:lvlText w:val="%7."/>
      <w:lvlJc w:val="left"/>
      <w:pPr>
        <w:ind w:left="357" w:hanging="357"/>
      </w:pPr>
      <w:rPr>
        <w:rFonts w:hint="default"/>
      </w:rPr>
    </w:lvl>
    <w:lvl w:ilvl="7">
      <w:start w:val="1"/>
      <w:numFmt w:val="lowerLetter"/>
      <w:pStyle w:val="ListNumberAlpha"/>
      <w:lvlText w:val="%8."/>
      <w:lvlJc w:val="left"/>
      <w:pPr>
        <w:tabs>
          <w:tab w:val="num" w:pos="720"/>
        </w:tabs>
        <w:ind w:left="1077" w:hanging="357"/>
      </w:pPr>
      <w:rPr>
        <w:rFonts w:hint="default"/>
      </w:rPr>
    </w:lvl>
    <w:lvl w:ilvl="8">
      <w:start w:val="1"/>
      <w:numFmt w:val="lowerRoman"/>
      <w:pStyle w:val="ListNumberRoman"/>
      <w:lvlText w:val="%9."/>
      <w:lvlJc w:val="left"/>
      <w:pPr>
        <w:ind w:left="1440" w:hanging="363"/>
      </w:pPr>
      <w:rPr>
        <w:rFonts w:hint="default"/>
      </w:rPr>
    </w:lvl>
  </w:abstractNum>
  <w:num w:numId="1" w16cid:durableId="2113428305">
    <w:abstractNumId w:val="10"/>
  </w:num>
  <w:num w:numId="2" w16cid:durableId="125660751">
    <w:abstractNumId w:val="8"/>
  </w:num>
  <w:num w:numId="3" w16cid:durableId="1475294440">
    <w:abstractNumId w:val="7"/>
  </w:num>
  <w:num w:numId="4" w16cid:durableId="758255600">
    <w:abstractNumId w:val="17"/>
  </w:num>
  <w:num w:numId="5" w16cid:durableId="942568912">
    <w:abstractNumId w:val="19"/>
  </w:num>
  <w:num w:numId="6" w16cid:durableId="259877536">
    <w:abstractNumId w:val="25"/>
  </w:num>
  <w:num w:numId="7" w16cid:durableId="1067533658">
    <w:abstractNumId w:val="13"/>
  </w:num>
  <w:num w:numId="8" w16cid:durableId="986544821">
    <w:abstractNumId w:val="12"/>
  </w:num>
  <w:num w:numId="9" w16cid:durableId="1603804744">
    <w:abstractNumId w:val="4"/>
  </w:num>
  <w:num w:numId="10" w16cid:durableId="1505318821">
    <w:abstractNumId w:val="15"/>
  </w:num>
  <w:num w:numId="11" w16cid:durableId="1133714243">
    <w:abstractNumId w:val="0"/>
  </w:num>
  <w:num w:numId="12" w16cid:durableId="101344732">
    <w:abstractNumId w:val="24"/>
  </w:num>
  <w:num w:numId="13" w16cid:durableId="210386969">
    <w:abstractNumId w:val="14"/>
  </w:num>
  <w:num w:numId="14" w16cid:durableId="1647509960">
    <w:abstractNumId w:val="5"/>
  </w:num>
  <w:num w:numId="15" w16cid:durableId="1146360936">
    <w:abstractNumId w:val="22"/>
  </w:num>
  <w:num w:numId="16" w16cid:durableId="699621631">
    <w:abstractNumId w:val="5"/>
  </w:num>
  <w:num w:numId="17" w16cid:durableId="865411567">
    <w:abstractNumId w:val="26"/>
  </w:num>
  <w:num w:numId="18" w16cid:durableId="1884516674">
    <w:abstractNumId w:val="18"/>
  </w:num>
  <w:num w:numId="19" w16cid:durableId="353649378">
    <w:abstractNumId w:val="21"/>
  </w:num>
  <w:num w:numId="20" w16cid:durableId="646670556">
    <w:abstractNumId w:val="11"/>
  </w:num>
  <w:num w:numId="21" w16cid:durableId="1453479861">
    <w:abstractNumId w:val="1"/>
  </w:num>
  <w:num w:numId="22" w16cid:durableId="1851066098">
    <w:abstractNumId w:val="6"/>
  </w:num>
  <w:num w:numId="23" w16cid:durableId="1891115342">
    <w:abstractNumId w:val="20"/>
  </w:num>
  <w:num w:numId="24" w16cid:durableId="1687515622">
    <w:abstractNumId w:val="3"/>
  </w:num>
  <w:num w:numId="25" w16cid:durableId="1673534365">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108"/>
    <w:rsid w:val="000011B1"/>
    <w:rsid w:val="000012C1"/>
    <w:rsid w:val="00005E76"/>
    <w:rsid w:val="00011127"/>
    <w:rsid w:val="00011696"/>
    <w:rsid w:val="00014FAC"/>
    <w:rsid w:val="00016286"/>
    <w:rsid w:val="00024AC3"/>
    <w:rsid w:val="00026567"/>
    <w:rsid w:val="00026BFD"/>
    <w:rsid w:val="00030EE5"/>
    <w:rsid w:val="00031209"/>
    <w:rsid w:val="00031402"/>
    <w:rsid w:val="00031AA9"/>
    <w:rsid w:val="0003253F"/>
    <w:rsid w:val="00034AED"/>
    <w:rsid w:val="00037284"/>
    <w:rsid w:val="00040203"/>
    <w:rsid w:val="00040CEC"/>
    <w:rsid w:val="00042AFF"/>
    <w:rsid w:val="00042DC3"/>
    <w:rsid w:val="0004533A"/>
    <w:rsid w:val="00050F16"/>
    <w:rsid w:val="00052563"/>
    <w:rsid w:val="00055E38"/>
    <w:rsid w:val="00060ABF"/>
    <w:rsid w:val="000625EC"/>
    <w:rsid w:val="000674D5"/>
    <w:rsid w:val="00070B1C"/>
    <w:rsid w:val="00072265"/>
    <w:rsid w:val="000724B2"/>
    <w:rsid w:val="0007268B"/>
    <w:rsid w:val="00074F2C"/>
    <w:rsid w:val="000751D0"/>
    <w:rsid w:val="00082B7F"/>
    <w:rsid w:val="0008336F"/>
    <w:rsid w:val="00091FAA"/>
    <w:rsid w:val="000930C0"/>
    <w:rsid w:val="0009475A"/>
    <w:rsid w:val="00094CEB"/>
    <w:rsid w:val="000961F8"/>
    <w:rsid w:val="00096233"/>
    <w:rsid w:val="000A4A62"/>
    <w:rsid w:val="000A5E4E"/>
    <w:rsid w:val="000A6448"/>
    <w:rsid w:val="000A77CA"/>
    <w:rsid w:val="000B0EC1"/>
    <w:rsid w:val="000B7108"/>
    <w:rsid w:val="000B7E63"/>
    <w:rsid w:val="000C405A"/>
    <w:rsid w:val="000C4871"/>
    <w:rsid w:val="000D23F1"/>
    <w:rsid w:val="000D63A0"/>
    <w:rsid w:val="000D6CF8"/>
    <w:rsid w:val="000D75CA"/>
    <w:rsid w:val="000D7895"/>
    <w:rsid w:val="000D7A0C"/>
    <w:rsid w:val="000E31C7"/>
    <w:rsid w:val="000E5200"/>
    <w:rsid w:val="000E7A53"/>
    <w:rsid w:val="000F0770"/>
    <w:rsid w:val="000F0FC0"/>
    <w:rsid w:val="000F1E9D"/>
    <w:rsid w:val="000F3C87"/>
    <w:rsid w:val="001005A4"/>
    <w:rsid w:val="00105A0F"/>
    <w:rsid w:val="00106EBA"/>
    <w:rsid w:val="00113A92"/>
    <w:rsid w:val="00113F5E"/>
    <w:rsid w:val="00115E7E"/>
    <w:rsid w:val="00117670"/>
    <w:rsid w:val="00122337"/>
    <w:rsid w:val="00124232"/>
    <w:rsid w:val="001245DA"/>
    <w:rsid w:val="0013150B"/>
    <w:rsid w:val="0013212A"/>
    <w:rsid w:val="00132336"/>
    <w:rsid w:val="001323A6"/>
    <w:rsid w:val="00140913"/>
    <w:rsid w:val="00142007"/>
    <w:rsid w:val="00142513"/>
    <w:rsid w:val="00146719"/>
    <w:rsid w:val="0014687A"/>
    <w:rsid w:val="0015011D"/>
    <w:rsid w:val="00153066"/>
    <w:rsid w:val="001557E5"/>
    <w:rsid w:val="00157047"/>
    <w:rsid w:val="00161099"/>
    <w:rsid w:val="00165559"/>
    <w:rsid w:val="00165EE5"/>
    <w:rsid w:val="00166F4A"/>
    <w:rsid w:val="00167224"/>
    <w:rsid w:val="00174E91"/>
    <w:rsid w:val="0018151B"/>
    <w:rsid w:val="00181D16"/>
    <w:rsid w:val="00181D5F"/>
    <w:rsid w:val="001905B3"/>
    <w:rsid w:val="00190FC3"/>
    <w:rsid w:val="001918E3"/>
    <w:rsid w:val="00194594"/>
    <w:rsid w:val="00195EE4"/>
    <w:rsid w:val="001963E8"/>
    <w:rsid w:val="00197B4F"/>
    <w:rsid w:val="001A1594"/>
    <w:rsid w:val="001A4714"/>
    <w:rsid w:val="001A7622"/>
    <w:rsid w:val="001B0380"/>
    <w:rsid w:val="001B10FD"/>
    <w:rsid w:val="001B4E86"/>
    <w:rsid w:val="001B693C"/>
    <w:rsid w:val="001C0DF1"/>
    <w:rsid w:val="001D2BE3"/>
    <w:rsid w:val="001D4849"/>
    <w:rsid w:val="001D61F8"/>
    <w:rsid w:val="001E0D15"/>
    <w:rsid w:val="001E356C"/>
    <w:rsid w:val="001F69EA"/>
    <w:rsid w:val="001F7721"/>
    <w:rsid w:val="002000BD"/>
    <w:rsid w:val="0020088D"/>
    <w:rsid w:val="0020128B"/>
    <w:rsid w:val="0020193C"/>
    <w:rsid w:val="002039F6"/>
    <w:rsid w:val="00207727"/>
    <w:rsid w:val="0021022D"/>
    <w:rsid w:val="00210919"/>
    <w:rsid w:val="00210C01"/>
    <w:rsid w:val="002117EE"/>
    <w:rsid w:val="00215D03"/>
    <w:rsid w:val="00216231"/>
    <w:rsid w:val="002278AE"/>
    <w:rsid w:val="00227C75"/>
    <w:rsid w:val="00232856"/>
    <w:rsid w:val="00232F29"/>
    <w:rsid w:val="0023754D"/>
    <w:rsid w:val="002409A5"/>
    <w:rsid w:val="002421E2"/>
    <w:rsid w:val="002427A4"/>
    <w:rsid w:val="00242A21"/>
    <w:rsid w:val="00243044"/>
    <w:rsid w:val="00245E4A"/>
    <w:rsid w:val="00261846"/>
    <w:rsid w:val="00263B72"/>
    <w:rsid w:val="00263C10"/>
    <w:rsid w:val="002648D7"/>
    <w:rsid w:val="00264BF9"/>
    <w:rsid w:val="002821A8"/>
    <w:rsid w:val="002845E9"/>
    <w:rsid w:val="00287129"/>
    <w:rsid w:val="00287240"/>
    <w:rsid w:val="00287554"/>
    <w:rsid w:val="00291B47"/>
    <w:rsid w:val="00296222"/>
    <w:rsid w:val="002A1F90"/>
    <w:rsid w:val="002A5B43"/>
    <w:rsid w:val="002B2348"/>
    <w:rsid w:val="002B3A80"/>
    <w:rsid w:val="002B651F"/>
    <w:rsid w:val="002B68FD"/>
    <w:rsid w:val="002B7BCC"/>
    <w:rsid w:val="002C0E03"/>
    <w:rsid w:val="002C0F0C"/>
    <w:rsid w:val="002C1491"/>
    <w:rsid w:val="002C4B34"/>
    <w:rsid w:val="002D02C1"/>
    <w:rsid w:val="002D0B0A"/>
    <w:rsid w:val="002D5F18"/>
    <w:rsid w:val="002E0FA8"/>
    <w:rsid w:val="002E1BA2"/>
    <w:rsid w:val="002E1C99"/>
    <w:rsid w:val="002E1F2F"/>
    <w:rsid w:val="002E26A3"/>
    <w:rsid w:val="002E4A63"/>
    <w:rsid w:val="002E5236"/>
    <w:rsid w:val="002E573F"/>
    <w:rsid w:val="002E5C21"/>
    <w:rsid w:val="002E5CB7"/>
    <w:rsid w:val="002E5F8B"/>
    <w:rsid w:val="002F10F3"/>
    <w:rsid w:val="002F2216"/>
    <w:rsid w:val="002F2D90"/>
    <w:rsid w:val="002F31F9"/>
    <w:rsid w:val="002F353A"/>
    <w:rsid w:val="002F56E2"/>
    <w:rsid w:val="002F7FC4"/>
    <w:rsid w:val="00300B87"/>
    <w:rsid w:val="00301578"/>
    <w:rsid w:val="00301739"/>
    <w:rsid w:val="003019E9"/>
    <w:rsid w:val="00302038"/>
    <w:rsid w:val="00302ED4"/>
    <w:rsid w:val="00305303"/>
    <w:rsid w:val="00306466"/>
    <w:rsid w:val="00310652"/>
    <w:rsid w:val="00314638"/>
    <w:rsid w:val="00314DE7"/>
    <w:rsid w:val="00321304"/>
    <w:rsid w:val="0032389F"/>
    <w:rsid w:val="00326233"/>
    <w:rsid w:val="0032713F"/>
    <w:rsid w:val="00327544"/>
    <w:rsid w:val="00334D72"/>
    <w:rsid w:val="003352B7"/>
    <w:rsid w:val="00337847"/>
    <w:rsid w:val="00337E1C"/>
    <w:rsid w:val="0034471A"/>
    <w:rsid w:val="00344B7A"/>
    <w:rsid w:val="00344DB3"/>
    <w:rsid w:val="00345633"/>
    <w:rsid w:val="00350D05"/>
    <w:rsid w:val="00351B2A"/>
    <w:rsid w:val="00351E3B"/>
    <w:rsid w:val="003523E1"/>
    <w:rsid w:val="00354823"/>
    <w:rsid w:val="00361840"/>
    <w:rsid w:val="003640BA"/>
    <w:rsid w:val="0036592D"/>
    <w:rsid w:val="003662FF"/>
    <w:rsid w:val="00366E0E"/>
    <w:rsid w:val="00367388"/>
    <w:rsid w:val="00372959"/>
    <w:rsid w:val="00375209"/>
    <w:rsid w:val="003779CF"/>
    <w:rsid w:val="003866A8"/>
    <w:rsid w:val="0039059A"/>
    <w:rsid w:val="0039343C"/>
    <w:rsid w:val="00396D4C"/>
    <w:rsid w:val="003A107F"/>
    <w:rsid w:val="003A20E6"/>
    <w:rsid w:val="003A31C8"/>
    <w:rsid w:val="003B0124"/>
    <w:rsid w:val="003B07E8"/>
    <w:rsid w:val="003B2BFC"/>
    <w:rsid w:val="003B3386"/>
    <w:rsid w:val="003C0A12"/>
    <w:rsid w:val="003C2905"/>
    <w:rsid w:val="003C34D3"/>
    <w:rsid w:val="003C631C"/>
    <w:rsid w:val="003D2493"/>
    <w:rsid w:val="003D34C1"/>
    <w:rsid w:val="003D3655"/>
    <w:rsid w:val="003D4CA4"/>
    <w:rsid w:val="003D77D4"/>
    <w:rsid w:val="003E0DC1"/>
    <w:rsid w:val="003E0F3F"/>
    <w:rsid w:val="003E2146"/>
    <w:rsid w:val="003E3477"/>
    <w:rsid w:val="003E4C89"/>
    <w:rsid w:val="003E4F50"/>
    <w:rsid w:val="003E54A0"/>
    <w:rsid w:val="003F7E45"/>
    <w:rsid w:val="003F7F0B"/>
    <w:rsid w:val="00405C5B"/>
    <w:rsid w:val="0040792B"/>
    <w:rsid w:val="004162CD"/>
    <w:rsid w:val="0041741E"/>
    <w:rsid w:val="004207B5"/>
    <w:rsid w:val="00421F75"/>
    <w:rsid w:val="0042629B"/>
    <w:rsid w:val="00426ADC"/>
    <w:rsid w:val="00426B4B"/>
    <w:rsid w:val="00426DB7"/>
    <w:rsid w:val="00427FEE"/>
    <w:rsid w:val="00430C63"/>
    <w:rsid w:val="00430EF8"/>
    <w:rsid w:val="00433B02"/>
    <w:rsid w:val="0043458D"/>
    <w:rsid w:val="00434770"/>
    <w:rsid w:val="00440E17"/>
    <w:rsid w:val="004410B1"/>
    <w:rsid w:val="00442A07"/>
    <w:rsid w:val="00442E3E"/>
    <w:rsid w:val="00443857"/>
    <w:rsid w:val="00444161"/>
    <w:rsid w:val="0045536A"/>
    <w:rsid w:val="004554A9"/>
    <w:rsid w:val="00456F68"/>
    <w:rsid w:val="004620BA"/>
    <w:rsid w:val="00464FC5"/>
    <w:rsid w:val="00467FEA"/>
    <w:rsid w:val="004730A9"/>
    <w:rsid w:val="004813B7"/>
    <w:rsid w:val="00483031"/>
    <w:rsid w:val="00483079"/>
    <w:rsid w:val="00483E25"/>
    <w:rsid w:val="00491BF6"/>
    <w:rsid w:val="00494429"/>
    <w:rsid w:val="004959E9"/>
    <w:rsid w:val="00497996"/>
    <w:rsid w:val="00497AC3"/>
    <w:rsid w:val="004A292F"/>
    <w:rsid w:val="004A385D"/>
    <w:rsid w:val="004A408F"/>
    <w:rsid w:val="004A7FE9"/>
    <w:rsid w:val="004B05B7"/>
    <w:rsid w:val="004B2DD7"/>
    <w:rsid w:val="004B6A23"/>
    <w:rsid w:val="004C0A12"/>
    <w:rsid w:val="004C1A60"/>
    <w:rsid w:val="004C55DA"/>
    <w:rsid w:val="004D010C"/>
    <w:rsid w:val="004D25B0"/>
    <w:rsid w:val="004D399B"/>
    <w:rsid w:val="004D6A0E"/>
    <w:rsid w:val="004E0E75"/>
    <w:rsid w:val="004E25C7"/>
    <w:rsid w:val="004E2E68"/>
    <w:rsid w:val="004E67FE"/>
    <w:rsid w:val="004F3FD5"/>
    <w:rsid w:val="004F4F3E"/>
    <w:rsid w:val="0050078F"/>
    <w:rsid w:val="00501182"/>
    <w:rsid w:val="005033F6"/>
    <w:rsid w:val="00506585"/>
    <w:rsid w:val="00510F1F"/>
    <w:rsid w:val="005129E6"/>
    <w:rsid w:val="00522CE3"/>
    <w:rsid w:val="005253E5"/>
    <w:rsid w:val="00525566"/>
    <w:rsid w:val="005309DA"/>
    <w:rsid w:val="00530DD9"/>
    <w:rsid w:val="0053314C"/>
    <w:rsid w:val="00533668"/>
    <w:rsid w:val="00534ED0"/>
    <w:rsid w:val="00536934"/>
    <w:rsid w:val="00540875"/>
    <w:rsid w:val="005408A2"/>
    <w:rsid w:val="0054171E"/>
    <w:rsid w:val="005441BB"/>
    <w:rsid w:val="00547116"/>
    <w:rsid w:val="005472A4"/>
    <w:rsid w:val="0055500F"/>
    <w:rsid w:val="00562D33"/>
    <w:rsid w:val="00562F52"/>
    <w:rsid w:val="00564C7C"/>
    <w:rsid w:val="005664F7"/>
    <w:rsid w:val="00572543"/>
    <w:rsid w:val="00577237"/>
    <w:rsid w:val="005835ED"/>
    <w:rsid w:val="00591B08"/>
    <w:rsid w:val="00593DB6"/>
    <w:rsid w:val="00594CCB"/>
    <w:rsid w:val="005A0A65"/>
    <w:rsid w:val="005A1EF1"/>
    <w:rsid w:val="005A33D9"/>
    <w:rsid w:val="005A76E5"/>
    <w:rsid w:val="005B1BF6"/>
    <w:rsid w:val="005B2DE0"/>
    <w:rsid w:val="005C1872"/>
    <w:rsid w:val="005C1AB3"/>
    <w:rsid w:val="005C21F1"/>
    <w:rsid w:val="005C5B7A"/>
    <w:rsid w:val="005C5D4E"/>
    <w:rsid w:val="005C608D"/>
    <w:rsid w:val="005D147B"/>
    <w:rsid w:val="005D45F0"/>
    <w:rsid w:val="005D5DBA"/>
    <w:rsid w:val="005D6FAE"/>
    <w:rsid w:val="005E037B"/>
    <w:rsid w:val="005E1CF5"/>
    <w:rsid w:val="005E214A"/>
    <w:rsid w:val="005E3EE3"/>
    <w:rsid w:val="005E5743"/>
    <w:rsid w:val="005E63F4"/>
    <w:rsid w:val="005F265D"/>
    <w:rsid w:val="005F48F1"/>
    <w:rsid w:val="005F770C"/>
    <w:rsid w:val="00605176"/>
    <w:rsid w:val="006055B5"/>
    <w:rsid w:val="006112DE"/>
    <w:rsid w:val="00612832"/>
    <w:rsid w:val="006129E1"/>
    <w:rsid w:val="00614FDC"/>
    <w:rsid w:val="0061558E"/>
    <w:rsid w:val="0061664C"/>
    <w:rsid w:val="00616F9E"/>
    <w:rsid w:val="00617650"/>
    <w:rsid w:val="006176F6"/>
    <w:rsid w:val="00620448"/>
    <w:rsid w:val="00621CF9"/>
    <w:rsid w:val="00623CFA"/>
    <w:rsid w:val="00624B4C"/>
    <w:rsid w:val="00626744"/>
    <w:rsid w:val="00631575"/>
    <w:rsid w:val="0063312B"/>
    <w:rsid w:val="006360FA"/>
    <w:rsid w:val="006365E5"/>
    <w:rsid w:val="00637B31"/>
    <w:rsid w:val="00644EB4"/>
    <w:rsid w:val="00645745"/>
    <w:rsid w:val="006468C6"/>
    <w:rsid w:val="00651967"/>
    <w:rsid w:val="00651A88"/>
    <w:rsid w:val="00653D39"/>
    <w:rsid w:val="00654325"/>
    <w:rsid w:val="0065589E"/>
    <w:rsid w:val="00662B8E"/>
    <w:rsid w:val="00663A3F"/>
    <w:rsid w:val="00663D4F"/>
    <w:rsid w:val="00664C76"/>
    <w:rsid w:val="00664FF5"/>
    <w:rsid w:val="0066798D"/>
    <w:rsid w:val="00670122"/>
    <w:rsid w:val="00673852"/>
    <w:rsid w:val="00674F02"/>
    <w:rsid w:val="0067574E"/>
    <w:rsid w:val="00676E42"/>
    <w:rsid w:val="00677984"/>
    <w:rsid w:val="00680639"/>
    <w:rsid w:val="00681FF4"/>
    <w:rsid w:val="006877A4"/>
    <w:rsid w:val="006878DE"/>
    <w:rsid w:val="006900D6"/>
    <w:rsid w:val="006917C1"/>
    <w:rsid w:val="00694669"/>
    <w:rsid w:val="006960AA"/>
    <w:rsid w:val="006A0B7F"/>
    <w:rsid w:val="006A45EA"/>
    <w:rsid w:val="006A7EB7"/>
    <w:rsid w:val="006B348A"/>
    <w:rsid w:val="006B394A"/>
    <w:rsid w:val="006C0C1C"/>
    <w:rsid w:val="006C3DEA"/>
    <w:rsid w:val="006C5A81"/>
    <w:rsid w:val="006D3778"/>
    <w:rsid w:val="006D6AAF"/>
    <w:rsid w:val="006E02B8"/>
    <w:rsid w:val="006E21B3"/>
    <w:rsid w:val="006E23BD"/>
    <w:rsid w:val="006E2B65"/>
    <w:rsid w:val="006E3102"/>
    <w:rsid w:val="006E373D"/>
    <w:rsid w:val="006E673D"/>
    <w:rsid w:val="006F3A72"/>
    <w:rsid w:val="0070013F"/>
    <w:rsid w:val="0070228A"/>
    <w:rsid w:val="007027D0"/>
    <w:rsid w:val="00703F9C"/>
    <w:rsid w:val="00705AD5"/>
    <w:rsid w:val="00705CFE"/>
    <w:rsid w:val="00707049"/>
    <w:rsid w:val="00713B24"/>
    <w:rsid w:val="007141E5"/>
    <w:rsid w:val="00714B0E"/>
    <w:rsid w:val="00717FDB"/>
    <w:rsid w:val="0072024F"/>
    <w:rsid w:val="007239F8"/>
    <w:rsid w:val="0072415A"/>
    <w:rsid w:val="007242E8"/>
    <w:rsid w:val="007252BD"/>
    <w:rsid w:val="00725D4C"/>
    <w:rsid w:val="007356C3"/>
    <w:rsid w:val="00741308"/>
    <w:rsid w:val="0074309C"/>
    <w:rsid w:val="00743445"/>
    <w:rsid w:val="00744B89"/>
    <w:rsid w:val="00746B89"/>
    <w:rsid w:val="00747022"/>
    <w:rsid w:val="00751E0B"/>
    <w:rsid w:val="00753949"/>
    <w:rsid w:val="00754793"/>
    <w:rsid w:val="00755FA6"/>
    <w:rsid w:val="007570C3"/>
    <w:rsid w:val="007610FD"/>
    <w:rsid w:val="0076376A"/>
    <w:rsid w:val="0077033F"/>
    <w:rsid w:val="00772DC2"/>
    <w:rsid w:val="00776E58"/>
    <w:rsid w:val="007779E2"/>
    <w:rsid w:val="00780A1B"/>
    <w:rsid w:val="00783505"/>
    <w:rsid w:val="00783864"/>
    <w:rsid w:val="007861AC"/>
    <w:rsid w:val="007861D9"/>
    <w:rsid w:val="00790A10"/>
    <w:rsid w:val="00792594"/>
    <w:rsid w:val="007A0303"/>
    <w:rsid w:val="007A3BE1"/>
    <w:rsid w:val="007A3CB5"/>
    <w:rsid w:val="007A4125"/>
    <w:rsid w:val="007A5DCA"/>
    <w:rsid w:val="007A735A"/>
    <w:rsid w:val="007B0DB6"/>
    <w:rsid w:val="007B3C9E"/>
    <w:rsid w:val="007B4EDE"/>
    <w:rsid w:val="007B57EC"/>
    <w:rsid w:val="007B6570"/>
    <w:rsid w:val="007B6BC8"/>
    <w:rsid w:val="007B7353"/>
    <w:rsid w:val="007C0F69"/>
    <w:rsid w:val="007C25E6"/>
    <w:rsid w:val="007C2CF2"/>
    <w:rsid w:val="007C3E56"/>
    <w:rsid w:val="007C531A"/>
    <w:rsid w:val="007D2B73"/>
    <w:rsid w:val="007D2F15"/>
    <w:rsid w:val="007D5906"/>
    <w:rsid w:val="007E29A2"/>
    <w:rsid w:val="007E4F0C"/>
    <w:rsid w:val="007E73EE"/>
    <w:rsid w:val="007F0A54"/>
    <w:rsid w:val="007F2077"/>
    <w:rsid w:val="00801696"/>
    <w:rsid w:val="00801808"/>
    <w:rsid w:val="00804FAF"/>
    <w:rsid w:val="008104F5"/>
    <w:rsid w:val="00810BCE"/>
    <w:rsid w:val="008131FD"/>
    <w:rsid w:val="00815FE2"/>
    <w:rsid w:val="00816B77"/>
    <w:rsid w:val="00820174"/>
    <w:rsid w:val="008223B7"/>
    <w:rsid w:val="0082292B"/>
    <w:rsid w:val="00822B46"/>
    <w:rsid w:val="00824958"/>
    <w:rsid w:val="00830FCE"/>
    <w:rsid w:val="00835F5D"/>
    <w:rsid w:val="0084112E"/>
    <w:rsid w:val="008422AD"/>
    <w:rsid w:val="00842C05"/>
    <w:rsid w:val="00842CDF"/>
    <w:rsid w:val="008430AF"/>
    <w:rsid w:val="008477CB"/>
    <w:rsid w:val="00851685"/>
    <w:rsid w:val="00851711"/>
    <w:rsid w:val="008546B7"/>
    <w:rsid w:val="00855327"/>
    <w:rsid w:val="0086228F"/>
    <w:rsid w:val="008622AC"/>
    <w:rsid w:val="00866042"/>
    <w:rsid w:val="00866A03"/>
    <w:rsid w:val="00871AAE"/>
    <w:rsid w:val="00873E6C"/>
    <w:rsid w:val="00880B89"/>
    <w:rsid w:val="00884114"/>
    <w:rsid w:val="00886065"/>
    <w:rsid w:val="008906A2"/>
    <w:rsid w:val="00891F8A"/>
    <w:rsid w:val="00895C26"/>
    <w:rsid w:val="008977A1"/>
    <w:rsid w:val="008A1BA3"/>
    <w:rsid w:val="008A1BB9"/>
    <w:rsid w:val="008A26DB"/>
    <w:rsid w:val="008A2F3D"/>
    <w:rsid w:val="008A392A"/>
    <w:rsid w:val="008A3DAE"/>
    <w:rsid w:val="008A788E"/>
    <w:rsid w:val="008B0135"/>
    <w:rsid w:val="008B039F"/>
    <w:rsid w:val="008B1576"/>
    <w:rsid w:val="008B1D14"/>
    <w:rsid w:val="008B3A6A"/>
    <w:rsid w:val="008B4E7B"/>
    <w:rsid w:val="008C342A"/>
    <w:rsid w:val="008D4548"/>
    <w:rsid w:val="008E10D0"/>
    <w:rsid w:val="008E2391"/>
    <w:rsid w:val="008E74F5"/>
    <w:rsid w:val="008E7FCC"/>
    <w:rsid w:val="008F1049"/>
    <w:rsid w:val="008F3DA4"/>
    <w:rsid w:val="008F445B"/>
    <w:rsid w:val="008F6156"/>
    <w:rsid w:val="008F6909"/>
    <w:rsid w:val="00903703"/>
    <w:rsid w:val="009102E0"/>
    <w:rsid w:val="00912FC5"/>
    <w:rsid w:val="0091468D"/>
    <w:rsid w:val="00917F1C"/>
    <w:rsid w:val="009213BD"/>
    <w:rsid w:val="00921F01"/>
    <w:rsid w:val="00924BB0"/>
    <w:rsid w:val="009279D4"/>
    <w:rsid w:val="009325EB"/>
    <w:rsid w:val="009328FC"/>
    <w:rsid w:val="00932A02"/>
    <w:rsid w:val="00932A78"/>
    <w:rsid w:val="00932F34"/>
    <w:rsid w:val="00934300"/>
    <w:rsid w:val="00934E41"/>
    <w:rsid w:val="009368A0"/>
    <w:rsid w:val="00936FDB"/>
    <w:rsid w:val="00940575"/>
    <w:rsid w:val="00941C42"/>
    <w:rsid w:val="00943A4D"/>
    <w:rsid w:val="00947B9F"/>
    <w:rsid w:val="00952317"/>
    <w:rsid w:val="009532DB"/>
    <w:rsid w:val="009533F8"/>
    <w:rsid w:val="009537F7"/>
    <w:rsid w:val="009551B3"/>
    <w:rsid w:val="009623DA"/>
    <w:rsid w:val="00963C76"/>
    <w:rsid w:val="00964536"/>
    <w:rsid w:val="00970A6A"/>
    <w:rsid w:val="0097130E"/>
    <w:rsid w:val="0097356B"/>
    <w:rsid w:val="009750BC"/>
    <w:rsid w:val="00975917"/>
    <w:rsid w:val="00981987"/>
    <w:rsid w:val="0098348E"/>
    <w:rsid w:val="00985607"/>
    <w:rsid w:val="00986354"/>
    <w:rsid w:val="00994FBA"/>
    <w:rsid w:val="00996369"/>
    <w:rsid w:val="00996C50"/>
    <w:rsid w:val="009A230B"/>
    <w:rsid w:val="009A46F1"/>
    <w:rsid w:val="009A4930"/>
    <w:rsid w:val="009A4D59"/>
    <w:rsid w:val="009A56A6"/>
    <w:rsid w:val="009B1747"/>
    <w:rsid w:val="009B1DB2"/>
    <w:rsid w:val="009B56FD"/>
    <w:rsid w:val="009C1AD8"/>
    <w:rsid w:val="009C1F9A"/>
    <w:rsid w:val="009C4278"/>
    <w:rsid w:val="009C54F7"/>
    <w:rsid w:val="009D122B"/>
    <w:rsid w:val="009D14DD"/>
    <w:rsid w:val="009D40CA"/>
    <w:rsid w:val="009D4C8C"/>
    <w:rsid w:val="009D5B2E"/>
    <w:rsid w:val="009E1F80"/>
    <w:rsid w:val="009E2F3C"/>
    <w:rsid w:val="009E4F04"/>
    <w:rsid w:val="009F3DC2"/>
    <w:rsid w:val="009F4C8B"/>
    <w:rsid w:val="00A04433"/>
    <w:rsid w:val="00A06709"/>
    <w:rsid w:val="00A07FAB"/>
    <w:rsid w:val="00A10B48"/>
    <w:rsid w:val="00A126AB"/>
    <w:rsid w:val="00A12CDE"/>
    <w:rsid w:val="00A12F7C"/>
    <w:rsid w:val="00A147EC"/>
    <w:rsid w:val="00A1546D"/>
    <w:rsid w:val="00A21855"/>
    <w:rsid w:val="00A233AD"/>
    <w:rsid w:val="00A30C58"/>
    <w:rsid w:val="00A334CB"/>
    <w:rsid w:val="00A3534A"/>
    <w:rsid w:val="00A42F6B"/>
    <w:rsid w:val="00A4414F"/>
    <w:rsid w:val="00A47415"/>
    <w:rsid w:val="00A47F2F"/>
    <w:rsid w:val="00A515D9"/>
    <w:rsid w:val="00A53702"/>
    <w:rsid w:val="00A550F8"/>
    <w:rsid w:val="00A55B2E"/>
    <w:rsid w:val="00A57790"/>
    <w:rsid w:val="00A615CD"/>
    <w:rsid w:val="00A63494"/>
    <w:rsid w:val="00A67E65"/>
    <w:rsid w:val="00A73BE9"/>
    <w:rsid w:val="00A745DA"/>
    <w:rsid w:val="00A8004C"/>
    <w:rsid w:val="00A8574F"/>
    <w:rsid w:val="00A86FB6"/>
    <w:rsid w:val="00A90144"/>
    <w:rsid w:val="00A91A76"/>
    <w:rsid w:val="00A9279E"/>
    <w:rsid w:val="00A92AF9"/>
    <w:rsid w:val="00A95726"/>
    <w:rsid w:val="00A966C2"/>
    <w:rsid w:val="00AA0551"/>
    <w:rsid w:val="00AA2A92"/>
    <w:rsid w:val="00AA46B4"/>
    <w:rsid w:val="00AA52B5"/>
    <w:rsid w:val="00AA5DB6"/>
    <w:rsid w:val="00AB5A4F"/>
    <w:rsid w:val="00AB76E4"/>
    <w:rsid w:val="00AC04C9"/>
    <w:rsid w:val="00AC1750"/>
    <w:rsid w:val="00AC4724"/>
    <w:rsid w:val="00AC5F78"/>
    <w:rsid w:val="00AC7CBD"/>
    <w:rsid w:val="00AD280F"/>
    <w:rsid w:val="00AD35B7"/>
    <w:rsid w:val="00AD601B"/>
    <w:rsid w:val="00AE178C"/>
    <w:rsid w:val="00AE2763"/>
    <w:rsid w:val="00AE41FB"/>
    <w:rsid w:val="00AE635E"/>
    <w:rsid w:val="00AEA5C7"/>
    <w:rsid w:val="00AF1465"/>
    <w:rsid w:val="00AF259D"/>
    <w:rsid w:val="00AF3214"/>
    <w:rsid w:val="00AF49E2"/>
    <w:rsid w:val="00AF6D86"/>
    <w:rsid w:val="00B003A4"/>
    <w:rsid w:val="00B01382"/>
    <w:rsid w:val="00B04FAA"/>
    <w:rsid w:val="00B07312"/>
    <w:rsid w:val="00B110BA"/>
    <w:rsid w:val="00B119F7"/>
    <w:rsid w:val="00B21A41"/>
    <w:rsid w:val="00B24291"/>
    <w:rsid w:val="00B25033"/>
    <w:rsid w:val="00B25D9E"/>
    <w:rsid w:val="00B26440"/>
    <w:rsid w:val="00B31194"/>
    <w:rsid w:val="00B339EA"/>
    <w:rsid w:val="00B3701B"/>
    <w:rsid w:val="00B40C7E"/>
    <w:rsid w:val="00B40E6C"/>
    <w:rsid w:val="00B449A4"/>
    <w:rsid w:val="00B4525C"/>
    <w:rsid w:val="00B45BAA"/>
    <w:rsid w:val="00B46280"/>
    <w:rsid w:val="00B46400"/>
    <w:rsid w:val="00B47FDB"/>
    <w:rsid w:val="00B50EFE"/>
    <w:rsid w:val="00B5103A"/>
    <w:rsid w:val="00B524C7"/>
    <w:rsid w:val="00B53139"/>
    <w:rsid w:val="00B540EB"/>
    <w:rsid w:val="00B54A8E"/>
    <w:rsid w:val="00B578C5"/>
    <w:rsid w:val="00B629AC"/>
    <w:rsid w:val="00B630C1"/>
    <w:rsid w:val="00B64ED6"/>
    <w:rsid w:val="00B67826"/>
    <w:rsid w:val="00B716ED"/>
    <w:rsid w:val="00B7248B"/>
    <w:rsid w:val="00B73DED"/>
    <w:rsid w:val="00B770B9"/>
    <w:rsid w:val="00B8374D"/>
    <w:rsid w:val="00B837D5"/>
    <w:rsid w:val="00B843A4"/>
    <w:rsid w:val="00B855C6"/>
    <w:rsid w:val="00B9070B"/>
    <w:rsid w:val="00B910E6"/>
    <w:rsid w:val="00B955F2"/>
    <w:rsid w:val="00B9661C"/>
    <w:rsid w:val="00B97427"/>
    <w:rsid w:val="00BA31D7"/>
    <w:rsid w:val="00BA45CD"/>
    <w:rsid w:val="00BA46C3"/>
    <w:rsid w:val="00BA484F"/>
    <w:rsid w:val="00BA612A"/>
    <w:rsid w:val="00BB32A9"/>
    <w:rsid w:val="00BB4DFC"/>
    <w:rsid w:val="00BB4EDF"/>
    <w:rsid w:val="00BB55D7"/>
    <w:rsid w:val="00BB5A36"/>
    <w:rsid w:val="00BB7ADA"/>
    <w:rsid w:val="00BC031B"/>
    <w:rsid w:val="00BC1197"/>
    <w:rsid w:val="00BC30BA"/>
    <w:rsid w:val="00BC4FFA"/>
    <w:rsid w:val="00BC6882"/>
    <w:rsid w:val="00BD6636"/>
    <w:rsid w:val="00BE1538"/>
    <w:rsid w:val="00BE189C"/>
    <w:rsid w:val="00BE6E5E"/>
    <w:rsid w:val="00C03990"/>
    <w:rsid w:val="00C115AA"/>
    <w:rsid w:val="00C126A5"/>
    <w:rsid w:val="00C176F8"/>
    <w:rsid w:val="00C2154C"/>
    <w:rsid w:val="00C23F2E"/>
    <w:rsid w:val="00C2537D"/>
    <w:rsid w:val="00C253BC"/>
    <w:rsid w:val="00C256D4"/>
    <w:rsid w:val="00C26C75"/>
    <w:rsid w:val="00C306DF"/>
    <w:rsid w:val="00C319A2"/>
    <w:rsid w:val="00C43974"/>
    <w:rsid w:val="00C446E2"/>
    <w:rsid w:val="00C4503E"/>
    <w:rsid w:val="00C47ED9"/>
    <w:rsid w:val="00C546CC"/>
    <w:rsid w:val="00C57094"/>
    <w:rsid w:val="00C5760E"/>
    <w:rsid w:val="00C604E3"/>
    <w:rsid w:val="00C61C6A"/>
    <w:rsid w:val="00C62F88"/>
    <w:rsid w:val="00C6313F"/>
    <w:rsid w:val="00C63CB5"/>
    <w:rsid w:val="00C70748"/>
    <w:rsid w:val="00C81570"/>
    <w:rsid w:val="00C81D70"/>
    <w:rsid w:val="00C81DC4"/>
    <w:rsid w:val="00C830E1"/>
    <w:rsid w:val="00C8394F"/>
    <w:rsid w:val="00C84773"/>
    <w:rsid w:val="00C84C05"/>
    <w:rsid w:val="00C85934"/>
    <w:rsid w:val="00C86CCF"/>
    <w:rsid w:val="00C90271"/>
    <w:rsid w:val="00C95A74"/>
    <w:rsid w:val="00C97B88"/>
    <w:rsid w:val="00C97EAC"/>
    <w:rsid w:val="00CA2191"/>
    <w:rsid w:val="00CA464D"/>
    <w:rsid w:val="00CB0BDD"/>
    <w:rsid w:val="00CB1883"/>
    <w:rsid w:val="00CB1AF8"/>
    <w:rsid w:val="00CB2665"/>
    <w:rsid w:val="00CB4A8C"/>
    <w:rsid w:val="00CB6676"/>
    <w:rsid w:val="00CC13DC"/>
    <w:rsid w:val="00CC5474"/>
    <w:rsid w:val="00CC56DD"/>
    <w:rsid w:val="00CC6D62"/>
    <w:rsid w:val="00CC75F5"/>
    <w:rsid w:val="00CC7BF7"/>
    <w:rsid w:val="00CD2295"/>
    <w:rsid w:val="00CD6E0C"/>
    <w:rsid w:val="00CE1135"/>
    <w:rsid w:val="00CE2B17"/>
    <w:rsid w:val="00CF1C00"/>
    <w:rsid w:val="00CF2159"/>
    <w:rsid w:val="00CF2436"/>
    <w:rsid w:val="00CF3321"/>
    <w:rsid w:val="00CF35EA"/>
    <w:rsid w:val="00CF5ACD"/>
    <w:rsid w:val="00CF711D"/>
    <w:rsid w:val="00CF778B"/>
    <w:rsid w:val="00D02AEB"/>
    <w:rsid w:val="00D03295"/>
    <w:rsid w:val="00D066CD"/>
    <w:rsid w:val="00D1037F"/>
    <w:rsid w:val="00D12B64"/>
    <w:rsid w:val="00D131BC"/>
    <w:rsid w:val="00D15987"/>
    <w:rsid w:val="00D22C90"/>
    <w:rsid w:val="00D27519"/>
    <w:rsid w:val="00D31368"/>
    <w:rsid w:val="00D34719"/>
    <w:rsid w:val="00D360BA"/>
    <w:rsid w:val="00D36334"/>
    <w:rsid w:val="00D37488"/>
    <w:rsid w:val="00D41557"/>
    <w:rsid w:val="00D444FD"/>
    <w:rsid w:val="00D450D3"/>
    <w:rsid w:val="00D452FD"/>
    <w:rsid w:val="00D45CD8"/>
    <w:rsid w:val="00D47215"/>
    <w:rsid w:val="00D50FB1"/>
    <w:rsid w:val="00D527DE"/>
    <w:rsid w:val="00D52EF0"/>
    <w:rsid w:val="00D55F83"/>
    <w:rsid w:val="00D56278"/>
    <w:rsid w:val="00D5654F"/>
    <w:rsid w:val="00D57022"/>
    <w:rsid w:val="00D615A9"/>
    <w:rsid w:val="00D62AFE"/>
    <w:rsid w:val="00D6547E"/>
    <w:rsid w:val="00D662B7"/>
    <w:rsid w:val="00D70012"/>
    <w:rsid w:val="00D727B3"/>
    <w:rsid w:val="00D7402B"/>
    <w:rsid w:val="00D8463B"/>
    <w:rsid w:val="00D85516"/>
    <w:rsid w:val="00D867D1"/>
    <w:rsid w:val="00D86E3B"/>
    <w:rsid w:val="00D8779F"/>
    <w:rsid w:val="00D9085D"/>
    <w:rsid w:val="00D92947"/>
    <w:rsid w:val="00D93358"/>
    <w:rsid w:val="00D944B6"/>
    <w:rsid w:val="00D94524"/>
    <w:rsid w:val="00D9460A"/>
    <w:rsid w:val="00D94A95"/>
    <w:rsid w:val="00D96491"/>
    <w:rsid w:val="00D96C60"/>
    <w:rsid w:val="00DA1A11"/>
    <w:rsid w:val="00DA35FE"/>
    <w:rsid w:val="00DA4A9F"/>
    <w:rsid w:val="00DA55C9"/>
    <w:rsid w:val="00DA5D24"/>
    <w:rsid w:val="00DA787E"/>
    <w:rsid w:val="00DB000E"/>
    <w:rsid w:val="00DB0287"/>
    <w:rsid w:val="00DB2A10"/>
    <w:rsid w:val="00DB2C81"/>
    <w:rsid w:val="00DB45AA"/>
    <w:rsid w:val="00DB47D3"/>
    <w:rsid w:val="00DB4A8C"/>
    <w:rsid w:val="00DB6A77"/>
    <w:rsid w:val="00DB7651"/>
    <w:rsid w:val="00DC3A6F"/>
    <w:rsid w:val="00DC3E2F"/>
    <w:rsid w:val="00DC4427"/>
    <w:rsid w:val="00DC52EC"/>
    <w:rsid w:val="00DC7CAC"/>
    <w:rsid w:val="00DC7DE0"/>
    <w:rsid w:val="00DD0735"/>
    <w:rsid w:val="00DD58BF"/>
    <w:rsid w:val="00DE2779"/>
    <w:rsid w:val="00DE58CE"/>
    <w:rsid w:val="00DF4246"/>
    <w:rsid w:val="00DF58D5"/>
    <w:rsid w:val="00DF7411"/>
    <w:rsid w:val="00DF7953"/>
    <w:rsid w:val="00DF7E9E"/>
    <w:rsid w:val="00E03F13"/>
    <w:rsid w:val="00E04360"/>
    <w:rsid w:val="00E102D5"/>
    <w:rsid w:val="00E12572"/>
    <w:rsid w:val="00E16814"/>
    <w:rsid w:val="00E16F9C"/>
    <w:rsid w:val="00E22AA6"/>
    <w:rsid w:val="00E231BA"/>
    <w:rsid w:val="00E30A2F"/>
    <w:rsid w:val="00E32A51"/>
    <w:rsid w:val="00E32CFE"/>
    <w:rsid w:val="00E40603"/>
    <w:rsid w:val="00E45B01"/>
    <w:rsid w:val="00E4699C"/>
    <w:rsid w:val="00E47248"/>
    <w:rsid w:val="00E51D6B"/>
    <w:rsid w:val="00E536C2"/>
    <w:rsid w:val="00E56BE9"/>
    <w:rsid w:val="00E671EE"/>
    <w:rsid w:val="00E7062A"/>
    <w:rsid w:val="00E71B05"/>
    <w:rsid w:val="00E7585A"/>
    <w:rsid w:val="00E77367"/>
    <w:rsid w:val="00E77AAD"/>
    <w:rsid w:val="00E807C9"/>
    <w:rsid w:val="00E815DC"/>
    <w:rsid w:val="00E84D08"/>
    <w:rsid w:val="00E84DE5"/>
    <w:rsid w:val="00E9061C"/>
    <w:rsid w:val="00EA0640"/>
    <w:rsid w:val="00EA17E4"/>
    <w:rsid w:val="00EA2316"/>
    <w:rsid w:val="00EA2EEB"/>
    <w:rsid w:val="00EA3685"/>
    <w:rsid w:val="00EA5151"/>
    <w:rsid w:val="00EA59E8"/>
    <w:rsid w:val="00EA7A07"/>
    <w:rsid w:val="00EB28AE"/>
    <w:rsid w:val="00EB318E"/>
    <w:rsid w:val="00EB5473"/>
    <w:rsid w:val="00EB54C3"/>
    <w:rsid w:val="00EB6C54"/>
    <w:rsid w:val="00EC571F"/>
    <w:rsid w:val="00ED2A9A"/>
    <w:rsid w:val="00ED4197"/>
    <w:rsid w:val="00ED4E26"/>
    <w:rsid w:val="00ED5A37"/>
    <w:rsid w:val="00ED62AA"/>
    <w:rsid w:val="00EE0317"/>
    <w:rsid w:val="00EE3E8C"/>
    <w:rsid w:val="00EE4084"/>
    <w:rsid w:val="00EE71AF"/>
    <w:rsid w:val="00EE7DCE"/>
    <w:rsid w:val="00EF0253"/>
    <w:rsid w:val="00EF2E95"/>
    <w:rsid w:val="00EF653C"/>
    <w:rsid w:val="00EF6989"/>
    <w:rsid w:val="00EF7551"/>
    <w:rsid w:val="00F02262"/>
    <w:rsid w:val="00F029F2"/>
    <w:rsid w:val="00F02E80"/>
    <w:rsid w:val="00F0344E"/>
    <w:rsid w:val="00F066E2"/>
    <w:rsid w:val="00F07D3B"/>
    <w:rsid w:val="00F11CB0"/>
    <w:rsid w:val="00F1335B"/>
    <w:rsid w:val="00F17B85"/>
    <w:rsid w:val="00F21DE3"/>
    <w:rsid w:val="00F23D21"/>
    <w:rsid w:val="00F27DCD"/>
    <w:rsid w:val="00F3478D"/>
    <w:rsid w:val="00F3483C"/>
    <w:rsid w:val="00F35C7C"/>
    <w:rsid w:val="00F36B27"/>
    <w:rsid w:val="00F40E93"/>
    <w:rsid w:val="00F450B8"/>
    <w:rsid w:val="00F50801"/>
    <w:rsid w:val="00F53979"/>
    <w:rsid w:val="00F5428B"/>
    <w:rsid w:val="00F542AB"/>
    <w:rsid w:val="00F543D5"/>
    <w:rsid w:val="00F5463E"/>
    <w:rsid w:val="00F5F907"/>
    <w:rsid w:val="00F60812"/>
    <w:rsid w:val="00F65180"/>
    <w:rsid w:val="00F73A8E"/>
    <w:rsid w:val="00F760A0"/>
    <w:rsid w:val="00F8013A"/>
    <w:rsid w:val="00F806CF"/>
    <w:rsid w:val="00F81178"/>
    <w:rsid w:val="00F81E98"/>
    <w:rsid w:val="00F8333C"/>
    <w:rsid w:val="00F8680B"/>
    <w:rsid w:val="00F872FD"/>
    <w:rsid w:val="00F87DA2"/>
    <w:rsid w:val="00F919AB"/>
    <w:rsid w:val="00F93211"/>
    <w:rsid w:val="00F9590B"/>
    <w:rsid w:val="00F96889"/>
    <w:rsid w:val="00FA240B"/>
    <w:rsid w:val="00FA54C4"/>
    <w:rsid w:val="00FA77AE"/>
    <w:rsid w:val="00FB4544"/>
    <w:rsid w:val="00FC683E"/>
    <w:rsid w:val="00FD1445"/>
    <w:rsid w:val="00FD1D56"/>
    <w:rsid w:val="00FD3B2D"/>
    <w:rsid w:val="00FD4CDB"/>
    <w:rsid w:val="00FE0D3C"/>
    <w:rsid w:val="00FE285E"/>
    <w:rsid w:val="00FE3E6D"/>
    <w:rsid w:val="00FE4270"/>
    <w:rsid w:val="00FE447D"/>
    <w:rsid w:val="00FE59C1"/>
    <w:rsid w:val="00FE7031"/>
    <w:rsid w:val="00FF1AA9"/>
    <w:rsid w:val="00FF2A68"/>
    <w:rsid w:val="00FF2B8F"/>
    <w:rsid w:val="00FF3AA7"/>
    <w:rsid w:val="00FF3B87"/>
    <w:rsid w:val="00FF3EFD"/>
    <w:rsid w:val="00FF5A5C"/>
    <w:rsid w:val="00FF6B96"/>
    <w:rsid w:val="01409127"/>
    <w:rsid w:val="0168CB56"/>
    <w:rsid w:val="0172834C"/>
    <w:rsid w:val="0173E3E5"/>
    <w:rsid w:val="01E7D2B4"/>
    <w:rsid w:val="022C18E8"/>
    <w:rsid w:val="0234A14B"/>
    <w:rsid w:val="027B32F6"/>
    <w:rsid w:val="0283ECBA"/>
    <w:rsid w:val="037422A0"/>
    <w:rsid w:val="03931E46"/>
    <w:rsid w:val="0393FE2E"/>
    <w:rsid w:val="03AB46AE"/>
    <w:rsid w:val="03F90AA6"/>
    <w:rsid w:val="04445DFB"/>
    <w:rsid w:val="049B7E24"/>
    <w:rsid w:val="04E00C68"/>
    <w:rsid w:val="04F893B7"/>
    <w:rsid w:val="05207E12"/>
    <w:rsid w:val="05526092"/>
    <w:rsid w:val="060052C8"/>
    <w:rsid w:val="0620BA7C"/>
    <w:rsid w:val="06A20320"/>
    <w:rsid w:val="06AF6992"/>
    <w:rsid w:val="070BD5D9"/>
    <w:rsid w:val="0732B2DD"/>
    <w:rsid w:val="0798B5A7"/>
    <w:rsid w:val="083B1413"/>
    <w:rsid w:val="0844D472"/>
    <w:rsid w:val="0854B4C0"/>
    <w:rsid w:val="094CEF30"/>
    <w:rsid w:val="096003C2"/>
    <w:rsid w:val="096804B1"/>
    <w:rsid w:val="09AE18A3"/>
    <w:rsid w:val="0A7E1EE2"/>
    <w:rsid w:val="0A9B9243"/>
    <w:rsid w:val="0AB73A25"/>
    <w:rsid w:val="0ABBF883"/>
    <w:rsid w:val="0AFA939E"/>
    <w:rsid w:val="0B4567EB"/>
    <w:rsid w:val="0C39477A"/>
    <w:rsid w:val="0D0166C3"/>
    <w:rsid w:val="0DFBB5A3"/>
    <w:rsid w:val="0EFE6457"/>
    <w:rsid w:val="0FF43C7D"/>
    <w:rsid w:val="106AA3D3"/>
    <w:rsid w:val="10841F25"/>
    <w:rsid w:val="10FBC585"/>
    <w:rsid w:val="11211A98"/>
    <w:rsid w:val="115ABEAB"/>
    <w:rsid w:val="11C27D37"/>
    <w:rsid w:val="11C3C73D"/>
    <w:rsid w:val="11CD4B5E"/>
    <w:rsid w:val="125225DA"/>
    <w:rsid w:val="126140CD"/>
    <w:rsid w:val="1492DB99"/>
    <w:rsid w:val="149D0FDC"/>
    <w:rsid w:val="14D3037D"/>
    <w:rsid w:val="151CEB79"/>
    <w:rsid w:val="158B8287"/>
    <w:rsid w:val="15FBB550"/>
    <w:rsid w:val="1618E351"/>
    <w:rsid w:val="1672B876"/>
    <w:rsid w:val="1680E24B"/>
    <w:rsid w:val="17296741"/>
    <w:rsid w:val="176857F7"/>
    <w:rsid w:val="17C16D36"/>
    <w:rsid w:val="17CEC5F4"/>
    <w:rsid w:val="17DE9351"/>
    <w:rsid w:val="181D2918"/>
    <w:rsid w:val="18D93CD7"/>
    <w:rsid w:val="18E2D4DE"/>
    <w:rsid w:val="193B764C"/>
    <w:rsid w:val="19E83AE0"/>
    <w:rsid w:val="1A0D6B51"/>
    <w:rsid w:val="1A1B34DB"/>
    <w:rsid w:val="1A6089DC"/>
    <w:rsid w:val="1AA0F8AA"/>
    <w:rsid w:val="1C03118E"/>
    <w:rsid w:val="1C5D4A0A"/>
    <w:rsid w:val="1C726B51"/>
    <w:rsid w:val="1C99E591"/>
    <w:rsid w:val="1CB8B91C"/>
    <w:rsid w:val="1CD70FD1"/>
    <w:rsid w:val="1D24ED69"/>
    <w:rsid w:val="1D95C5A8"/>
    <w:rsid w:val="1DB5DE0D"/>
    <w:rsid w:val="1DC5D850"/>
    <w:rsid w:val="1DE177B7"/>
    <w:rsid w:val="1E148353"/>
    <w:rsid w:val="1EB02127"/>
    <w:rsid w:val="1EB83921"/>
    <w:rsid w:val="1F0E1B80"/>
    <w:rsid w:val="1F2EECE4"/>
    <w:rsid w:val="1F579255"/>
    <w:rsid w:val="1FB88843"/>
    <w:rsid w:val="1FBD1A4D"/>
    <w:rsid w:val="1FFD269E"/>
    <w:rsid w:val="20249373"/>
    <w:rsid w:val="20A8E277"/>
    <w:rsid w:val="21A73D5E"/>
    <w:rsid w:val="21D07712"/>
    <w:rsid w:val="226633A2"/>
    <w:rsid w:val="22B77BC8"/>
    <w:rsid w:val="22F2D70B"/>
    <w:rsid w:val="23ACC3C9"/>
    <w:rsid w:val="23E82E9A"/>
    <w:rsid w:val="2405AE48"/>
    <w:rsid w:val="2406F4C8"/>
    <w:rsid w:val="241F4710"/>
    <w:rsid w:val="24206C4D"/>
    <w:rsid w:val="24B43D64"/>
    <w:rsid w:val="24CDB9DF"/>
    <w:rsid w:val="24F64497"/>
    <w:rsid w:val="2593E134"/>
    <w:rsid w:val="25A2D3CC"/>
    <w:rsid w:val="25DD476A"/>
    <w:rsid w:val="268D3534"/>
    <w:rsid w:val="2721C35A"/>
    <w:rsid w:val="27E556F5"/>
    <w:rsid w:val="28320C96"/>
    <w:rsid w:val="283656D3"/>
    <w:rsid w:val="28E17961"/>
    <w:rsid w:val="28F92B10"/>
    <w:rsid w:val="294145FC"/>
    <w:rsid w:val="29F05EB2"/>
    <w:rsid w:val="2A597834"/>
    <w:rsid w:val="2A5D294D"/>
    <w:rsid w:val="2A626376"/>
    <w:rsid w:val="2ADAB392"/>
    <w:rsid w:val="2B4B1C17"/>
    <w:rsid w:val="2BB3C570"/>
    <w:rsid w:val="2C7BE729"/>
    <w:rsid w:val="2D110FC4"/>
    <w:rsid w:val="2D89E617"/>
    <w:rsid w:val="2D8ED407"/>
    <w:rsid w:val="2D900844"/>
    <w:rsid w:val="2DEADCCB"/>
    <w:rsid w:val="2E2F9C6F"/>
    <w:rsid w:val="2E3E770B"/>
    <w:rsid w:val="2E4CCF85"/>
    <w:rsid w:val="2EA5732E"/>
    <w:rsid w:val="2F063F88"/>
    <w:rsid w:val="2FE2937C"/>
    <w:rsid w:val="3014B19F"/>
    <w:rsid w:val="3024988D"/>
    <w:rsid w:val="305100C5"/>
    <w:rsid w:val="30727354"/>
    <w:rsid w:val="30B6A1BA"/>
    <w:rsid w:val="30D41C72"/>
    <w:rsid w:val="31AD34E4"/>
    <w:rsid w:val="31AEA809"/>
    <w:rsid w:val="31BF8225"/>
    <w:rsid w:val="31CAF360"/>
    <w:rsid w:val="31F2AA46"/>
    <w:rsid w:val="32055D51"/>
    <w:rsid w:val="32A92179"/>
    <w:rsid w:val="32B6173A"/>
    <w:rsid w:val="32CF8D1F"/>
    <w:rsid w:val="32D7C0CA"/>
    <w:rsid w:val="331B438F"/>
    <w:rsid w:val="3374AF6C"/>
    <w:rsid w:val="33889DE8"/>
    <w:rsid w:val="33AEA5BD"/>
    <w:rsid w:val="341A053C"/>
    <w:rsid w:val="34701D6C"/>
    <w:rsid w:val="348AA1A2"/>
    <w:rsid w:val="356B5722"/>
    <w:rsid w:val="35715045"/>
    <w:rsid w:val="35A4B30D"/>
    <w:rsid w:val="35AC4B65"/>
    <w:rsid w:val="35E0106A"/>
    <w:rsid w:val="35EA6884"/>
    <w:rsid w:val="360E2632"/>
    <w:rsid w:val="369CA749"/>
    <w:rsid w:val="36B29738"/>
    <w:rsid w:val="36E76BFE"/>
    <w:rsid w:val="371C9CD1"/>
    <w:rsid w:val="378474EC"/>
    <w:rsid w:val="37858C58"/>
    <w:rsid w:val="380DB1D0"/>
    <w:rsid w:val="381FAA48"/>
    <w:rsid w:val="382DE318"/>
    <w:rsid w:val="38337501"/>
    <w:rsid w:val="38AF5D4D"/>
    <w:rsid w:val="39229011"/>
    <w:rsid w:val="39511183"/>
    <w:rsid w:val="3976986E"/>
    <w:rsid w:val="39831AC0"/>
    <w:rsid w:val="399284CF"/>
    <w:rsid w:val="39AE788C"/>
    <w:rsid w:val="39F3CBE4"/>
    <w:rsid w:val="3AEF9968"/>
    <w:rsid w:val="3B3293DE"/>
    <w:rsid w:val="3BC989D5"/>
    <w:rsid w:val="3C191078"/>
    <w:rsid w:val="3C958865"/>
    <w:rsid w:val="3CE6D2F1"/>
    <w:rsid w:val="3D14C070"/>
    <w:rsid w:val="3E41A34B"/>
    <w:rsid w:val="3F5A312B"/>
    <w:rsid w:val="3F5C4D65"/>
    <w:rsid w:val="3F829B45"/>
    <w:rsid w:val="3F8D14BB"/>
    <w:rsid w:val="3FAA4319"/>
    <w:rsid w:val="40158564"/>
    <w:rsid w:val="402BB2E5"/>
    <w:rsid w:val="40777AE3"/>
    <w:rsid w:val="40F57AC8"/>
    <w:rsid w:val="410ECCC7"/>
    <w:rsid w:val="42BE4855"/>
    <w:rsid w:val="42E1467F"/>
    <w:rsid w:val="437BF271"/>
    <w:rsid w:val="438BDD67"/>
    <w:rsid w:val="438D4B7D"/>
    <w:rsid w:val="43D477DC"/>
    <w:rsid w:val="44049C0C"/>
    <w:rsid w:val="44188B62"/>
    <w:rsid w:val="44B1E221"/>
    <w:rsid w:val="44FD2B3B"/>
    <w:rsid w:val="450A5ED0"/>
    <w:rsid w:val="45C81F2E"/>
    <w:rsid w:val="45FF15D0"/>
    <w:rsid w:val="469912A5"/>
    <w:rsid w:val="46A8EF49"/>
    <w:rsid w:val="46C82E5D"/>
    <w:rsid w:val="46F24173"/>
    <w:rsid w:val="4700D87C"/>
    <w:rsid w:val="474454EC"/>
    <w:rsid w:val="4802F158"/>
    <w:rsid w:val="481EB36A"/>
    <w:rsid w:val="4852500B"/>
    <w:rsid w:val="485EC727"/>
    <w:rsid w:val="4866A06F"/>
    <w:rsid w:val="48900950"/>
    <w:rsid w:val="48928AE3"/>
    <w:rsid w:val="48D28810"/>
    <w:rsid w:val="4A2E56D2"/>
    <w:rsid w:val="4A7939DE"/>
    <w:rsid w:val="4A79D21A"/>
    <w:rsid w:val="4B2453F7"/>
    <w:rsid w:val="4B3325DE"/>
    <w:rsid w:val="4B350A32"/>
    <w:rsid w:val="4B36BA5E"/>
    <w:rsid w:val="4B88380E"/>
    <w:rsid w:val="4BD9EE64"/>
    <w:rsid w:val="4C47C5F4"/>
    <w:rsid w:val="4C6C539E"/>
    <w:rsid w:val="4C791061"/>
    <w:rsid w:val="4D7E6126"/>
    <w:rsid w:val="4DE40C54"/>
    <w:rsid w:val="4F6E2D01"/>
    <w:rsid w:val="4F7A03CF"/>
    <w:rsid w:val="4FAAB20E"/>
    <w:rsid w:val="4FBBE3BD"/>
    <w:rsid w:val="4FDC435B"/>
    <w:rsid w:val="503B440D"/>
    <w:rsid w:val="50415919"/>
    <w:rsid w:val="50DC4F6E"/>
    <w:rsid w:val="50DDB675"/>
    <w:rsid w:val="511CB1F0"/>
    <w:rsid w:val="51C2A342"/>
    <w:rsid w:val="51F8122F"/>
    <w:rsid w:val="52A94EC9"/>
    <w:rsid w:val="52E16029"/>
    <w:rsid w:val="52F00E73"/>
    <w:rsid w:val="52FAA00A"/>
    <w:rsid w:val="53206067"/>
    <w:rsid w:val="5366A621"/>
    <w:rsid w:val="5379C23A"/>
    <w:rsid w:val="54907166"/>
    <w:rsid w:val="54A19C7F"/>
    <w:rsid w:val="551A583A"/>
    <w:rsid w:val="55286C70"/>
    <w:rsid w:val="5552FE16"/>
    <w:rsid w:val="5563C6A3"/>
    <w:rsid w:val="55785966"/>
    <w:rsid w:val="55A6BC9A"/>
    <w:rsid w:val="55BC5F1A"/>
    <w:rsid w:val="55CFD492"/>
    <w:rsid w:val="56127A52"/>
    <w:rsid w:val="5666A368"/>
    <w:rsid w:val="56ED883A"/>
    <w:rsid w:val="576C5BC1"/>
    <w:rsid w:val="57A7DDA5"/>
    <w:rsid w:val="5825DE29"/>
    <w:rsid w:val="5958BDF2"/>
    <w:rsid w:val="596BC8B1"/>
    <w:rsid w:val="5A14AEF5"/>
    <w:rsid w:val="5A20B5CB"/>
    <w:rsid w:val="5A370A89"/>
    <w:rsid w:val="5ABAD4EE"/>
    <w:rsid w:val="5B5FA558"/>
    <w:rsid w:val="5B9A6F41"/>
    <w:rsid w:val="5BC90C55"/>
    <w:rsid w:val="5D5AEA01"/>
    <w:rsid w:val="5DA0C658"/>
    <w:rsid w:val="5E2B37E8"/>
    <w:rsid w:val="5E46E2A7"/>
    <w:rsid w:val="5E742F7E"/>
    <w:rsid w:val="5E7C90EF"/>
    <w:rsid w:val="5ED07484"/>
    <w:rsid w:val="5EDD425D"/>
    <w:rsid w:val="5EF1F109"/>
    <w:rsid w:val="5F51C1CA"/>
    <w:rsid w:val="5F6C8E8A"/>
    <w:rsid w:val="5F82BC55"/>
    <w:rsid w:val="5F9D114F"/>
    <w:rsid w:val="61046838"/>
    <w:rsid w:val="6114200A"/>
    <w:rsid w:val="61A98FB6"/>
    <w:rsid w:val="61F12F2D"/>
    <w:rsid w:val="6221B6D7"/>
    <w:rsid w:val="62CF2026"/>
    <w:rsid w:val="62ECF979"/>
    <w:rsid w:val="6304678C"/>
    <w:rsid w:val="63D5AB9F"/>
    <w:rsid w:val="648A03F1"/>
    <w:rsid w:val="6563E283"/>
    <w:rsid w:val="659DA01B"/>
    <w:rsid w:val="65B91742"/>
    <w:rsid w:val="66168CB6"/>
    <w:rsid w:val="66355D7B"/>
    <w:rsid w:val="6702B976"/>
    <w:rsid w:val="6726CCAC"/>
    <w:rsid w:val="67390FE7"/>
    <w:rsid w:val="6755370D"/>
    <w:rsid w:val="67701FC9"/>
    <w:rsid w:val="690BA493"/>
    <w:rsid w:val="690C03FF"/>
    <w:rsid w:val="6953CC0F"/>
    <w:rsid w:val="69649D84"/>
    <w:rsid w:val="6981CFA5"/>
    <w:rsid w:val="69926802"/>
    <w:rsid w:val="6A7701AC"/>
    <w:rsid w:val="6AB80EF3"/>
    <w:rsid w:val="6B537FC1"/>
    <w:rsid w:val="6B573B0E"/>
    <w:rsid w:val="6C2E1ADD"/>
    <w:rsid w:val="6C68A516"/>
    <w:rsid w:val="6D8BBB4D"/>
    <w:rsid w:val="6E8B7A61"/>
    <w:rsid w:val="6EA9FAB8"/>
    <w:rsid w:val="6FCC3514"/>
    <w:rsid w:val="6FE33FB6"/>
    <w:rsid w:val="70533079"/>
    <w:rsid w:val="70D2308B"/>
    <w:rsid w:val="70D6E710"/>
    <w:rsid w:val="70D7D5B3"/>
    <w:rsid w:val="728350CE"/>
    <w:rsid w:val="72885B0D"/>
    <w:rsid w:val="729DEAF9"/>
    <w:rsid w:val="7389B8AB"/>
    <w:rsid w:val="742E5DB3"/>
    <w:rsid w:val="7480BFF4"/>
    <w:rsid w:val="74D21B4F"/>
    <w:rsid w:val="755499D0"/>
    <w:rsid w:val="756F4B94"/>
    <w:rsid w:val="75CE162D"/>
    <w:rsid w:val="76118348"/>
    <w:rsid w:val="764D1AE5"/>
    <w:rsid w:val="7654E9F3"/>
    <w:rsid w:val="766FA1F4"/>
    <w:rsid w:val="7682ED46"/>
    <w:rsid w:val="76AEAC4D"/>
    <w:rsid w:val="770CAD35"/>
    <w:rsid w:val="770EAF4C"/>
    <w:rsid w:val="77EF4A72"/>
    <w:rsid w:val="77F40C73"/>
    <w:rsid w:val="7819E0B1"/>
    <w:rsid w:val="787B8BB8"/>
    <w:rsid w:val="7914CF51"/>
    <w:rsid w:val="7980EB8F"/>
    <w:rsid w:val="7A11112A"/>
    <w:rsid w:val="7A3E0783"/>
    <w:rsid w:val="7B54D630"/>
    <w:rsid w:val="7B751C31"/>
    <w:rsid w:val="7B7A738B"/>
    <w:rsid w:val="7BFC2F02"/>
    <w:rsid w:val="7C022B9A"/>
    <w:rsid w:val="7C30C93F"/>
    <w:rsid w:val="7C5C39AB"/>
    <w:rsid w:val="7CBFA956"/>
    <w:rsid w:val="7D269915"/>
    <w:rsid w:val="7D316AC9"/>
    <w:rsid w:val="7D400083"/>
    <w:rsid w:val="7D554EC3"/>
    <w:rsid w:val="7DCF8B97"/>
    <w:rsid w:val="7E94652C"/>
    <w:rsid w:val="7EDC7E9E"/>
    <w:rsid w:val="7FA612EF"/>
    <w:rsid w:val="7FF251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21158"/>
  <w15:chartTrackingRefBased/>
  <w15:docId w15:val="{008B2E96-0C91-42DF-A650-759E583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uiPriority="4" w:qFormat="1"/>
    <w:lsdException w:name="heading 7" w:uiPriority="4"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unhideWhenUsed="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iPriority="0" w:qFormat="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semiHidden/>
    <w:qFormat/>
    <w:rsid w:val="00117670"/>
    <w:pPr>
      <w:spacing w:after="130" w:line="300" w:lineRule="auto"/>
    </w:pPr>
    <w:rPr>
      <w:rFonts w:eastAsiaTheme="minorEastAsia"/>
      <w:sz w:val="20"/>
      <w:lang w:val="en-US"/>
    </w:rPr>
  </w:style>
  <w:style w:type="paragraph" w:styleId="Heading1">
    <w:name w:val="heading 1"/>
    <w:basedOn w:val="BodyText"/>
    <w:next w:val="BodyText"/>
    <w:link w:val="Heading1Char"/>
    <w:uiPriority w:val="1"/>
    <w:qFormat/>
    <w:rsid w:val="005C5D4E"/>
    <w:pPr>
      <w:keepNext/>
      <w:spacing w:before="240" w:line="240" w:lineRule="auto"/>
      <w:outlineLvl w:val="0"/>
    </w:pPr>
    <w:rPr>
      <w:rFonts w:asciiTheme="majorHAnsi" w:eastAsiaTheme="minorHAnsi" w:hAnsiTheme="majorHAnsi" w:cs="Times New Roman (Body CS)"/>
      <w:caps/>
      <w:color w:val="018219" w:themeColor="accent1"/>
      <w:spacing w:val="8"/>
      <w:sz w:val="28"/>
    </w:rPr>
  </w:style>
  <w:style w:type="paragraph" w:styleId="Heading2">
    <w:name w:val="heading 2"/>
    <w:basedOn w:val="BodyText"/>
    <w:next w:val="BodyText"/>
    <w:link w:val="Heading2Char"/>
    <w:uiPriority w:val="1"/>
    <w:qFormat/>
    <w:rsid w:val="005C5D4E"/>
    <w:pPr>
      <w:keepNext/>
      <w:spacing w:before="240" w:line="240" w:lineRule="auto"/>
      <w:outlineLvl w:val="1"/>
    </w:pPr>
    <w:rPr>
      <w:rFonts w:asciiTheme="majorHAnsi" w:eastAsiaTheme="minorHAnsi" w:hAnsiTheme="majorHAnsi" w:cs="Times New Roman (Body CS)"/>
      <w:caps/>
      <w:color w:val="018219" w:themeColor="accent1"/>
      <w:spacing w:val="8"/>
      <w:sz w:val="24"/>
    </w:rPr>
  </w:style>
  <w:style w:type="paragraph" w:styleId="Heading3">
    <w:name w:val="heading 3"/>
    <w:basedOn w:val="Heading2"/>
    <w:next w:val="BodyText"/>
    <w:link w:val="Heading3Char"/>
    <w:uiPriority w:val="1"/>
    <w:qFormat/>
    <w:rsid w:val="00572543"/>
    <w:pPr>
      <w:outlineLvl w:val="2"/>
    </w:pPr>
    <w:rPr>
      <w:sz w:val="22"/>
    </w:rPr>
  </w:style>
  <w:style w:type="paragraph" w:styleId="Heading4">
    <w:name w:val="heading 4"/>
    <w:basedOn w:val="Heading2"/>
    <w:next w:val="BodyText"/>
    <w:link w:val="Heading4Char"/>
    <w:uiPriority w:val="1"/>
    <w:qFormat/>
    <w:rsid w:val="004207B5"/>
    <w:pPr>
      <w:outlineLvl w:val="3"/>
    </w:pPr>
    <w:rPr>
      <w:spacing w:val="0"/>
      <w:sz w:val="20"/>
    </w:rPr>
  </w:style>
  <w:style w:type="paragraph" w:styleId="Heading5">
    <w:name w:val="heading 5"/>
    <w:next w:val="BodyText"/>
    <w:link w:val="Heading5Char"/>
    <w:uiPriority w:val="1"/>
    <w:qFormat/>
    <w:rsid w:val="005C5D4E"/>
    <w:pPr>
      <w:keepNext/>
      <w:numPr>
        <w:ilvl w:val="4"/>
        <w:numId w:val="17"/>
      </w:numPr>
      <w:spacing w:before="240" w:after="60" w:line="300" w:lineRule="auto"/>
      <w:outlineLvl w:val="4"/>
    </w:pPr>
    <w:rPr>
      <w:rFonts w:asciiTheme="majorHAnsi" w:hAnsiTheme="majorHAnsi"/>
      <w:b/>
      <w:iCs/>
      <w:sz w:val="20"/>
    </w:rPr>
  </w:style>
  <w:style w:type="paragraph" w:styleId="Heading6">
    <w:name w:val="heading 6"/>
    <w:next w:val="BodyText"/>
    <w:link w:val="Heading6Char"/>
    <w:uiPriority w:val="1"/>
    <w:qFormat/>
    <w:rsid w:val="005C5D4E"/>
    <w:pPr>
      <w:keepNext/>
      <w:numPr>
        <w:ilvl w:val="5"/>
        <w:numId w:val="17"/>
      </w:numPr>
      <w:spacing w:before="240" w:after="60" w:line="300" w:lineRule="auto"/>
      <w:outlineLvl w:val="5"/>
    </w:pPr>
    <w:rPr>
      <w:rFonts w:asciiTheme="majorHAnsi" w:hAnsiTheme="majorHAnsi"/>
      <w:b/>
      <w:i/>
      <w:sz w:val="20"/>
    </w:rPr>
  </w:style>
  <w:style w:type="paragraph" w:styleId="Heading7">
    <w:name w:val="heading 7"/>
    <w:next w:val="BodyText"/>
    <w:link w:val="Heading7Char"/>
    <w:uiPriority w:val="4"/>
    <w:semiHidden/>
    <w:qFormat/>
    <w:rsid w:val="005C5D4E"/>
    <w:pPr>
      <w:spacing w:before="240" w:after="60" w:line="300" w:lineRule="auto"/>
      <w:outlineLvl w:val="6"/>
    </w:pPr>
    <w:rPr>
      <w:b/>
      <w:iCs/>
      <w:sz w:val="20"/>
    </w:rPr>
  </w:style>
  <w:style w:type="paragraph" w:styleId="Heading8">
    <w:name w:val="heading 8"/>
    <w:next w:val="Normal"/>
    <w:link w:val="Heading8Char"/>
    <w:uiPriority w:val="4"/>
    <w:semiHidden/>
    <w:qFormat/>
    <w:rsid w:val="006E23BD"/>
    <w:pPr>
      <w:spacing w:after="130" w:line="293" w:lineRule="auto"/>
      <w:outlineLvl w:val="7"/>
    </w:pPr>
    <w:rPr>
      <w:i/>
      <w:iCs/>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D4CDB"/>
    <w:pPr>
      <w:tabs>
        <w:tab w:val="right" w:pos="10773"/>
      </w:tabs>
      <w:spacing w:after="0" w:line="192" w:lineRule="auto"/>
    </w:pPr>
    <w:rPr>
      <w:color w:val="82887E" w:themeColor="accent6"/>
      <w:sz w:val="14"/>
    </w:rPr>
  </w:style>
  <w:style w:type="character" w:customStyle="1" w:styleId="HeaderChar">
    <w:name w:val="Header Char"/>
    <w:basedOn w:val="DefaultParagraphFont"/>
    <w:link w:val="Header"/>
    <w:uiPriority w:val="99"/>
    <w:semiHidden/>
    <w:rsid w:val="00FD4CDB"/>
    <w:rPr>
      <w:color w:val="82887E" w:themeColor="accent6"/>
      <w:sz w:val="14"/>
    </w:rPr>
  </w:style>
  <w:style w:type="paragraph" w:styleId="Footer">
    <w:name w:val="footer"/>
    <w:basedOn w:val="Normal"/>
    <w:link w:val="FooterChar"/>
    <w:uiPriority w:val="99"/>
    <w:semiHidden/>
    <w:rsid w:val="00C2537D"/>
    <w:pPr>
      <w:tabs>
        <w:tab w:val="left" w:pos="3686"/>
        <w:tab w:val="left" w:pos="5432"/>
        <w:tab w:val="right" w:pos="10773"/>
      </w:tabs>
      <w:spacing w:before="200" w:after="280" w:line="200" w:lineRule="exact"/>
      <w:ind w:left="1622"/>
      <w:contextualSpacing/>
    </w:pPr>
    <w:rPr>
      <w:rFonts w:cs="Times New Roman (Body CS)"/>
      <w:color w:val="82887E" w:themeColor="accent6"/>
      <w:spacing w:val="6"/>
      <w:sz w:val="12"/>
    </w:rPr>
  </w:style>
  <w:style w:type="character" w:customStyle="1" w:styleId="FooterChar">
    <w:name w:val="Footer Char"/>
    <w:basedOn w:val="DefaultParagraphFont"/>
    <w:link w:val="Footer"/>
    <w:uiPriority w:val="99"/>
    <w:semiHidden/>
    <w:rsid w:val="00C2537D"/>
    <w:rPr>
      <w:rFonts w:cs="Times New Roman (Body CS)"/>
      <w:color w:val="82887E" w:themeColor="accent6"/>
      <w:spacing w:val="6"/>
      <w:sz w:val="12"/>
    </w:rPr>
  </w:style>
  <w:style w:type="character" w:styleId="PageNumber">
    <w:name w:val="page number"/>
    <w:basedOn w:val="DefaultParagraphFont"/>
    <w:uiPriority w:val="99"/>
    <w:semiHidden/>
    <w:rsid w:val="00C2537D"/>
    <w:rPr>
      <w:rFonts w:asciiTheme="minorHAnsi" w:hAnsiTheme="minorHAnsi"/>
      <w:color w:val="82887E" w:themeColor="accent6"/>
      <w:sz w:val="12"/>
    </w:rPr>
  </w:style>
  <w:style w:type="table" w:styleId="TableGrid">
    <w:name w:val="Table Grid"/>
    <w:basedOn w:val="TableNormal"/>
    <w:uiPriority w:val="39"/>
    <w:rsid w:val="00426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426DB7"/>
    <w:rPr>
      <w:rFonts w:asciiTheme="majorHAnsi" w:hAnsiTheme="majorHAnsi" w:cs="Times New Roman (Body CS)"/>
      <w:caps/>
      <w:color w:val="018219" w:themeColor="accent1"/>
      <w:spacing w:val="8"/>
      <w:sz w:val="28"/>
      <w:lang w:val="en-US"/>
    </w:rPr>
  </w:style>
  <w:style w:type="paragraph" w:customStyle="1" w:styleId="Name">
    <w:name w:val="Name"/>
    <w:basedOn w:val="Normal"/>
    <w:uiPriority w:val="1"/>
    <w:semiHidden/>
    <w:qFormat/>
    <w:rsid w:val="00BE189C"/>
    <w:pPr>
      <w:framePr w:hSpace="181" w:wrap="around" w:vAnchor="page" w:hAnchor="page" w:x="568" w:y="3346"/>
      <w:spacing w:after="0"/>
      <w:suppressOverlap/>
    </w:pPr>
    <w:rPr>
      <w:b/>
    </w:rPr>
  </w:style>
  <w:style w:type="paragraph" w:customStyle="1" w:styleId="Address">
    <w:name w:val="Address"/>
    <w:basedOn w:val="Normal"/>
    <w:uiPriority w:val="2"/>
    <w:semiHidden/>
    <w:qFormat/>
    <w:rsid w:val="00BE189C"/>
    <w:pPr>
      <w:spacing w:after="0"/>
    </w:pPr>
  </w:style>
  <w:style w:type="character" w:customStyle="1" w:styleId="Heading2Char">
    <w:name w:val="Heading 2 Char"/>
    <w:basedOn w:val="DefaultParagraphFont"/>
    <w:link w:val="Heading2"/>
    <w:uiPriority w:val="1"/>
    <w:rsid w:val="00426DB7"/>
    <w:rPr>
      <w:rFonts w:asciiTheme="majorHAnsi" w:hAnsiTheme="majorHAnsi" w:cs="Times New Roman (Body CS)"/>
      <w:caps/>
      <w:color w:val="018219" w:themeColor="accent1"/>
      <w:spacing w:val="8"/>
      <w:lang w:val="en-US"/>
    </w:rPr>
  </w:style>
  <w:style w:type="paragraph" w:styleId="Date">
    <w:name w:val="Date"/>
    <w:basedOn w:val="CoverSubheading"/>
    <w:next w:val="Normal"/>
    <w:link w:val="DateChar"/>
    <w:uiPriority w:val="4"/>
    <w:semiHidden/>
    <w:rsid w:val="00AE178C"/>
    <w:pPr>
      <w:framePr w:wrap="around" w:y="4463"/>
    </w:pPr>
  </w:style>
  <w:style w:type="character" w:customStyle="1" w:styleId="DateChar">
    <w:name w:val="Date Char"/>
    <w:basedOn w:val="DefaultParagraphFont"/>
    <w:link w:val="Date"/>
    <w:uiPriority w:val="4"/>
    <w:semiHidden/>
    <w:rsid w:val="00AE178C"/>
    <w:rPr>
      <w:rFonts w:ascii="Verdana" w:hAnsi="Verdana"/>
      <w:sz w:val="18"/>
      <w:szCs w:val="16"/>
    </w:rPr>
  </w:style>
  <w:style w:type="paragraph" w:customStyle="1" w:styleId="Recipient">
    <w:name w:val="Recipient"/>
    <w:basedOn w:val="Normal"/>
    <w:uiPriority w:val="5"/>
    <w:semiHidden/>
    <w:qFormat/>
    <w:rsid w:val="00426DB7"/>
  </w:style>
  <w:style w:type="paragraph" w:customStyle="1" w:styleId="Reference">
    <w:name w:val="Reference"/>
    <w:basedOn w:val="CoverSubheading"/>
    <w:uiPriority w:val="6"/>
    <w:semiHidden/>
    <w:qFormat/>
    <w:rsid w:val="00AE178C"/>
    <w:pPr>
      <w:framePr w:wrap="around" w:y="4463"/>
    </w:pPr>
  </w:style>
  <w:style w:type="paragraph" w:styleId="HTMLAddress">
    <w:name w:val="HTML Address"/>
    <w:basedOn w:val="Normal"/>
    <w:link w:val="HTMLAddressChar"/>
    <w:uiPriority w:val="99"/>
    <w:semiHidden/>
    <w:rsid w:val="0066798D"/>
    <w:pPr>
      <w:spacing w:after="0" w:line="240" w:lineRule="auto"/>
    </w:pPr>
    <w:rPr>
      <w:i/>
      <w:iCs/>
    </w:rPr>
  </w:style>
  <w:style w:type="character" w:customStyle="1" w:styleId="HTMLAddressChar">
    <w:name w:val="HTML Address Char"/>
    <w:basedOn w:val="DefaultParagraphFont"/>
    <w:link w:val="HTMLAddress"/>
    <w:uiPriority w:val="99"/>
    <w:semiHidden/>
    <w:rsid w:val="0042629B"/>
    <w:rPr>
      <w:i/>
      <w:iCs/>
      <w:sz w:val="18"/>
    </w:rPr>
  </w:style>
  <w:style w:type="paragraph" w:styleId="EndnoteText">
    <w:name w:val="endnote text"/>
    <w:basedOn w:val="Normal"/>
    <w:link w:val="EndnoteTextChar"/>
    <w:uiPriority w:val="99"/>
    <w:semiHidden/>
    <w:rsid w:val="0066798D"/>
    <w:pPr>
      <w:spacing w:after="0" w:line="240" w:lineRule="auto"/>
    </w:pPr>
    <w:rPr>
      <w:szCs w:val="20"/>
    </w:rPr>
  </w:style>
  <w:style w:type="character" w:customStyle="1" w:styleId="EndnoteTextChar">
    <w:name w:val="Endnote Text Char"/>
    <w:basedOn w:val="DefaultParagraphFont"/>
    <w:link w:val="EndnoteText"/>
    <w:uiPriority w:val="99"/>
    <w:semiHidden/>
    <w:rsid w:val="0042629B"/>
    <w:rPr>
      <w:sz w:val="20"/>
      <w:szCs w:val="20"/>
    </w:rPr>
  </w:style>
  <w:style w:type="paragraph" w:styleId="Title">
    <w:name w:val="Title"/>
    <w:aliases w:val="T1"/>
    <w:basedOn w:val="BodyText"/>
    <w:next w:val="BodyText"/>
    <w:link w:val="TitleChar"/>
    <w:uiPriority w:val="3"/>
    <w:qFormat/>
    <w:rsid w:val="00CE1135"/>
    <w:pPr>
      <w:spacing w:after="0" w:line="240" w:lineRule="auto"/>
    </w:pPr>
    <w:rPr>
      <w:rFonts w:ascii="Cambria" w:hAnsi="Cambria"/>
      <w:b/>
      <w:bCs/>
      <w:sz w:val="48"/>
      <w:szCs w:val="36"/>
    </w:rPr>
  </w:style>
  <w:style w:type="character" w:customStyle="1" w:styleId="TitleChar">
    <w:name w:val="Title Char"/>
    <w:aliases w:val="T1 Char"/>
    <w:basedOn w:val="DefaultParagraphFont"/>
    <w:link w:val="Title"/>
    <w:uiPriority w:val="3"/>
    <w:rsid w:val="009A56A6"/>
    <w:rPr>
      <w:rFonts w:ascii="Cambria" w:eastAsiaTheme="minorEastAsia" w:hAnsi="Cambria"/>
      <w:b/>
      <w:bCs/>
      <w:sz w:val="48"/>
      <w:szCs w:val="36"/>
      <w:lang w:val="en-US"/>
    </w:rPr>
  </w:style>
  <w:style w:type="character" w:customStyle="1" w:styleId="Heading4Char">
    <w:name w:val="Heading 4 Char"/>
    <w:basedOn w:val="DefaultParagraphFont"/>
    <w:link w:val="Heading4"/>
    <w:uiPriority w:val="1"/>
    <w:rsid w:val="00426DB7"/>
    <w:rPr>
      <w:rFonts w:asciiTheme="majorHAnsi" w:hAnsiTheme="majorHAnsi" w:cs="Times New Roman (Body CS)"/>
      <w:caps/>
      <w:color w:val="018219" w:themeColor="accent1"/>
      <w:sz w:val="20"/>
      <w:lang w:val="en-US"/>
    </w:rPr>
  </w:style>
  <w:style w:type="paragraph" w:customStyle="1" w:styleId="Introduction">
    <w:name w:val="Introduction"/>
    <w:basedOn w:val="Normal"/>
    <w:uiPriority w:val="2"/>
    <w:semiHidden/>
    <w:qFormat/>
    <w:rsid w:val="00052563"/>
    <w:pPr>
      <w:spacing w:before="90" w:after="0" w:line="274" w:lineRule="auto"/>
    </w:pPr>
    <w:rPr>
      <w:sz w:val="24"/>
      <w:szCs w:val="28"/>
    </w:rPr>
  </w:style>
  <w:style w:type="character" w:customStyle="1" w:styleId="Heading8Char">
    <w:name w:val="Heading 8 Char"/>
    <w:basedOn w:val="DefaultParagraphFont"/>
    <w:link w:val="Heading8"/>
    <w:uiPriority w:val="4"/>
    <w:semiHidden/>
    <w:rsid w:val="003E4C89"/>
    <w:rPr>
      <w:i/>
      <w:iCs/>
      <w:sz w:val="18"/>
    </w:rPr>
  </w:style>
  <w:style w:type="paragraph" w:customStyle="1" w:styleId="BasicParagraph">
    <w:name w:val="[Basic Paragraph]"/>
    <w:basedOn w:val="Normal"/>
    <w:uiPriority w:val="99"/>
    <w:semiHidden/>
    <w:rsid w:val="003D34C1"/>
    <w:pPr>
      <w:autoSpaceDE w:val="0"/>
      <w:autoSpaceDN w:val="0"/>
      <w:adjustRightInd w:val="0"/>
      <w:spacing w:after="0" w:line="288" w:lineRule="auto"/>
      <w:textAlignment w:val="center"/>
    </w:pPr>
    <w:rPr>
      <w:rFonts w:ascii="MinionPro-Regular" w:hAnsi="MinionPro-Regular" w:cs="MinionPro-Regular"/>
      <w:color w:val="000000"/>
      <w:kern w:val="0"/>
      <w:sz w:val="24"/>
    </w:rPr>
  </w:style>
  <w:style w:type="paragraph" w:styleId="NoSpacing">
    <w:name w:val="No Spacing"/>
    <w:basedOn w:val="BodyText"/>
    <w:uiPriority w:val="1"/>
    <w:semiHidden/>
    <w:qFormat/>
    <w:rsid w:val="00AE178C"/>
    <w:pPr>
      <w:spacing w:after="0"/>
    </w:pPr>
  </w:style>
  <w:style w:type="character" w:customStyle="1" w:styleId="Heading5Char">
    <w:name w:val="Heading 5 Char"/>
    <w:basedOn w:val="DefaultParagraphFont"/>
    <w:link w:val="Heading5"/>
    <w:uiPriority w:val="1"/>
    <w:rsid w:val="00426DB7"/>
    <w:rPr>
      <w:rFonts w:asciiTheme="majorHAnsi" w:hAnsiTheme="majorHAnsi"/>
      <w:b/>
      <w:iCs/>
      <w:sz w:val="20"/>
    </w:rPr>
  </w:style>
  <w:style w:type="paragraph" w:customStyle="1" w:styleId="Casestudydetails">
    <w:name w:val="Case study details"/>
    <w:link w:val="CasestudydetailsChar"/>
    <w:uiPriority w:val="4"/>
    <w:qFormat/>
    <w:rsid w:val="00AE635E"/>
    <w:rPr>
      <w:rFonts w:asciiTheme="majorHAnsi" w:hAnsiTheme="majorHAnsi" w:cs="Times New Roman (Body CS)"/>
      <w:sz w:val="20"/>
    </w:rPr>
  </w:style>
  <w:style w:type="character" w:customStyle="1" w:styleId="CasestudydetailsChar">
    <w:name w:val="Case study details Char"/>
    <w:basedOn w:val="Heading1Char"/>
    <w:link w:val="Casestudydetails"/>
    <w:uiPriority w:val="4"/>
    <w:rsid w:val="00426DB7"/>
    <w:rPr>
      <w:rFonts w:asciiTheme="majorHAnsi" w:hAnsiTheme="majorHAnsi" w:cs="Times New Roman (Body CS)"/>
      <w:caps w:val="0"/>
      <w:color w:val="018219" w:themeColor="accent1"/>
      <w:spacing w:val="8"/>
      <w:sz w:val="20"/>
      <w:lang w:val="en-US"/>
    </w:rPr>
  </w:style>
  <w:style w:type="paragraph" w:customStyle="1" w:styleId="Bullet">
    <w:name w:val="Bullet"/>
    <w:basedOn w:val="Normal"/>
    <w:qFormat/>
    <w:rsid w:val="00BA484F"/>
    <w:pPr>
      <w:numPr>
        <w:numId w:val="16"/>
      </w:numPr>
      <w:spacing w:before="60" w:after="60"/>
    </w:pPr>
    <w:rPr>
      <w:rFonts w:eastAsiaTheme="minorHAnsi"/>
    </w:rPr>
  </w:style>
  <w:style w:type="paragraph" w:styleId="Caption">
    <w:name w:val="caption"/>
    <w:basedOn w:val="Normal"/>
    <w:next w:val="Normal"/>
    <w:uiPriority w:val="3"/>
    <w:qFormat/>
    <w:rsid w:val="00AE41FB"/>
    <w:pPr>
      <w:keepNext/>
      <w:tabs>
        <w:tab w:val="left" w:pos="1191"/>
      </w:tabs>
      <w:spacing w:after="120"/>
    </w:pPr>
    <w:rPr>
      <w:rFonts w:asciiTheme="majorHAnsi" w:eastAsiaTheme="minorHAnsi" w:hAnsiTheme="majorHAnsi" w:cs="Times New Roman (Body CS)"/>
      <w:caps/>
      <w:color w:val="018219" w:themeColor="accent1"/>
      <w:spacing w:val="4"/>
      <w:szCs w:val="16"/>
    </w:rPr>
  </w:style>
  <w:style w:type="paragraph" w:styleId="Subtitle">
    <w:name w:val="Subtitle"/>
    <w:aliases w:val="S1"/>
    <w:next w:val="BodyText"/>
    <w:link w:val="SubtitleChar"/>
    <w:uiPriority w:val="3"/>
    <w:qFormat/>
    <w:rsid w:val="0067574E"/>
    <w:rPr>
      <w:rFonts w:ascii="Cambria" w:hAnsi="Cambria" w:cs="Times New Roman (Body CS)"/>
      <w:sz w:val="36"/>
    </w:rPr>
  </w:style>
  <w:style w:type="character" w:customStyle="1" w:styleId="SubtitleChar">
    <w:name w:val="Subtitle Char"/>
    <w:aliases w:val="S1 Char"/>
    <w:basedOn w:val="DefaultParagraphFont"/>
    <w:link w:val="Subtitle"/>
    <w:uiPriority w:val="3"/>
    <w:rsid w:val="009A56A6"/>
    <w:rPr>
      <w:rFonts w:ascii="Cambria" w:hAnsi="Cambria" w:cs="Times New Roman (Body CS)"/>
      <w:sz w:val="36"/>
    </w:rPr>
  </w:style>
  <w:style w:type="paragraph" w:customStyle="1" w:styleId="CoverSubheading">
    <w:name w:val="Cover Subheading"/>
    <w:uiPriority w:val="4"/>
    <w:qFormat/>
    <w:rsid w:val="000961F8"/>
    <w:pPr>
      <w:framePr w:hSpace="181" w:wrap="around" w:vAnchor="page" w:hAnchor="page" w:x="8931" w:y="5767"/>
      <w:spacing w:line="276" w:lineRule="auto"/>
      <w:suppressOverlap/>
    </w:pPr>
    <w:rPr>
      <w:rFonts w:asciiTheme="majorHAnsi" w:hAnsiTheme="majorHAnsi"/>
      <w:sz w:val="18"/>
      <w:szCs w:val="16"/>
    </w:rPr>
  </w:style>
  <w:style w:type="paragraph" w:customStyle="1" w:styleId="Tabletextleft">
    <w:name w:val="Table text left"/>
    <w:basedOn w:val="Normal"/>
    <w:uiPriority w:val="1"/>
    <w:qFormat/>
    <w:rsid w:val="00426DB7"/>
    <w:pPr>
      <w:spacing w:after="0" w:line="240" w:lineRule="auto"/>
    </w:pPr>
    <w:rPr>
      <w:rFonts w:eastAsiaTheme="minorHAnsi" w:cs="Times New Roman (Body CS)"/>
      <w:spacing w:val="4"/>
      <w:sz w:val="18"/>
    </w:rPr>
  </w:style>
  <w:style w:type="paragraph" w:customStyle="1" w:styleId="TableBullet1">
    <w:name w:val="Table Bullet 1"/>
    <w:basedOn w:val="Tabletextleft"/>
    <w:uiPriority w:val="1"/>
    <w:qFormat/>
    <w:rsid w:val="0097130E"/>
    <w:pPr>
      <w:numPr>
        <w:numId w:val="23"/>
      </w:numPr>
      <w:ind w:left="284" w:hanging="284"/>
    </w:pPr>
  </w:style>
  <w:style w:type="paragraph" w:customStyle="1" w:styleId="Tablenumber">
    <w:name w:val="Table number"/>
    <w:basedOn w:val="TableBullet1"/>
    <w:uiPriority w:val="1"/>
    <w:qFormat/>
    <w:rsid w:val="00ED4197"/>
    <w:pPr>
      <w:numPr>
        <w:numId w:val="24"/>
      </w:numPr>
      <w:tabs>
        <w:tab w:val="left" w:pos="284"/>
        <w:tab w:val="left" w:pos="397"/>
      </w:tabs>
      <w:ind w:left="284" w:hanging="284"/>
    </w:pPr>
  </w:style>
  <w:style w:type="paragraph" w:styleId="TOC1">
    <w:name w:val="toc 1"/>
    <w:basedOn w:val="Normal"/>
    <w:next w:val="Normal"/>
    <w:autoRedefine/>
    <w:uiPriority w:val="39"/>
    <w:rsid w:val="0034471A"/>
    <w:pPr>
      <w:pBdr>
        <w:top w:val="single" w:sz="4" w:space="5" w:color="D2DED3"/>
        <w:bottom w:val="single" w:sz="4" w:space="5" w:color="D2DED3"/>
        <w:between w:val="single" w:sz="4" w:space="5" w:color="FFFFFF" w:themeColor="background1"/>
      </w:pBdr>
      <w:shd w:val="clear" w:color="auto" w:fill="D2DED3"/>
      <w:tabs>
        <w:tab w:val="left" w:pos="1531"/>
        <w:tab w:val="right" w:pos="10653"/>
      </w:tabs>
      <w:spacing w:after="0" w:line="240" w:lineRule="auto"/>
    </w:pPr>
    <w:rPr>
      <w:rFonts w:asciiTheme="majorHAnsi" w:hAnsiTheme="majorHAnsi" w:cs="Times New Roman (Body CS)"/>
      <w:caps/>
      <w:spacing w:val="8"/>
    </w:rPr>
  </w:style>
  <w:style w:type="paragraph" w:styleId="TOC2">
    <w:name w:val="toc 2"/>
    <w:basedOn w:val="TOC1"/>
    <w:next w:val="Normal"/>
    <w:autoRedefine/>
    <w:uiPriority w:val="39"/>
    <w:rsid w:val="0034471A"/>
    <w:pPr>
      <w:pBdr>
        <w:top w:val="single" w:sz="4" w:space="4" w:color="FFFFFF" w:themeColor="background1"/>
        <w:bottom w:val="single" w:sz="4" w:space="4" w:color="D2DED3"/>
        <w:between w:val="single" w:sz="4" w:space="4" w:color="D2DED3"/>
      </w:pBdr>
      <w:shd w:val="clear" w:color="auto" w:fill="auto"/>
    </w:pPr>
  </w:style>
  <w:style w:type="paragraph" w:styleId="TOCHeading">
    <w:name w:val="TOC Heading"/>
    <w:next w:val="Normal"/>
    <w:uiPriority w:val="39"/>
    <w:semiHidden/>
    <w:qFormat/>
    <w:rsid w:val="00AE178C"/>
    <w:pPr>
      <w:spacing w:after="280"/>
    </w:pPr>
    <w:rPr>
      <w:rFonts w:ascii="Verdana" w:hAnsi="Verdana" w:cs="Times New Roman (Body CS)"/>
      <w:caps/>
      <w:spacing w:val="8"/>
    </w:rPr>
  </w:style>
  <w:style w:type="paragraph" w:styleId="ListParagraph">
    <w:name w:val="List Paragraph"/>
    <w:basedOn w:val="Normal"/>
    <w:uiPriority w:val="34"/>
    <w:semiHidden/>
    <w:qFormat/>
    <w:rsid w:val="00B770B9"/>
    <w:pPr>
      <w:ind w:left="720"/>
      <w:contextualSpacing/>
    </w:pPr>
  </w:style>
  <w:style w:type="table" w:customStyle="1" w:styleId="ERMTable1">
    <w:name w:val="ERM Table 1"/>
    <w:basedOn w:val="TableNormal"/>
    <w:uiPriority w:val="99"/>
    <w:rsid w:val="00651A88"/>
    <w:rPr>
      <w:sz w:val="16"/>
    </w:rPr>
    <w:tblPr>
      <w:tblStyleRowBandSize w:val="1"/>
      <w:tblStyleColBandSize w:val="1"/>
      <w:tblBorders>
        <w:bottom w:val="single" w:sz="4" w:space="0" w:color="B7B2AA" w:themeColor="accent5"/>
        <w:insideH w:val="single" w:sz="4" w:space="0" w:color="B7B2AA" w:themeColor="accent5"/>
        <w:insideV w:val="single" w:sz="4" w:space="0" w:color="B7B2AA" w:themeColor="accent5"/>
      </w:tblBorders>
      <w:tblCellMar>
        <w:top w:w="85" w:type="dxa"/>
        <w:bottom w:w="85" w:type="dxa"/>
      </w:tblCellMar>
    </w:tblPr>
    <w:tblStylePr w:type="firstRow">
      <w:rPr>
        <w:b/>
      </w:rPr>
      <w:tblPr/>
      <w:tcPr>
        <w:tcBorders>
          <w:top w:val="nil"/>
          <w:left w:val="nil"/>
          <w:bottom w:val="single" w:sz="4" w:space="0" w:color="B7B2AA" w:themeColor="accent5"/>
          <w:right w:val="nil"/>
          <w:insideH w:val="nil"/>
          <w:insideV w:val="single" w:sz="4" w:space="0" w:color="B7B2AA" w:themeColor="accent5"/>
          <w:tl2br w:val="nil"/>
          <w:tr2bl w:val="nil"/>
        </w:tcBorders>
        <w:shd w:val="clear" w:color="auto" w:fill="D2DED3"/>
      </w:tcPr>
    </w:tblStylePr>
    <w:tblStylePr w:type="lastRow">
      <w:rPr>
        <w:b w:val="0"/>
      </w:rPr>
    </w:tblStylePr>
    <w:tblStylePr w:type="firstCol">
      <w:rPr>
        <w:b w:val="0"/>
        <w:caps w:val="0"/>
        <w:smallCaps w:val="0"/>
      </w:rPr>
    </w:tblStylePr>
    <w:tblStylePr w:type="band1Vert">
      <w:tblPr/>
      <w:tcPr>
        <w:tcBorders>
          <w:left w:val="nil"/>
          <w:right w:val="nil"/>
          <w:insideV w:val="nil"/>
        </w:tcBorders>
      </w:tcPr>
    </w:tblStylePr>
    <w:tblStylePr w:type="band2Vert">
      <w:tblPr/>
      <w:tcPr>
        <w:tcBorders>
          <w:left w:val="nil"/>
          <w:right w:val="nil"/>
          <w:insideV w:val="nil"/>
        </w:tcBorders>
      </w:tcPr>
    </w:tblStylePr>
    <w:tblStylePr w:type="band1Horz">
      <w:tblPr/>
      <w:tcPr>
        <w:tcBorders>
          <w:top w:val="nil"/>
          <w:left w:val="nil"/>
          <w:bottom w:val="single" w:sz="4" w:space="0" w:color="B7B2AA" w:themeColor="accent5"/>
          <w:right w:val="nil"/>
        </w:tcBorders>
      </w:tcPr>
    </w:tblStylePr>
  </w:style>
  <w:style w:type="paragraph" w:customStyle="1" w:styleId="Line">
    <w:name w:val="Line"/>
    <w:basedOn w:val="Normal"/>
    <w:uiPriority w:val="3"/>
    <w:qFormat/>
    <w:rsid w:val="00C2537D"/>
    <w:pPr>
      <w:pBdr>
        <w:top w:val="single" w:sz="4" w:space="1" w:color="82887E" w:themeColor="accent6"/>
      </w:pBdr>
      <w:spacing w:before="160" w:after="0" w:line="293" w:lineRule="auto"/>
    </w:pPr>
    <w:rPr>
      <w:sz w:val="12"/>
      <w:szCs w:val="12"/>
    </w:rPr>
  </w:style>
  <w:style w:type="paragraph" w:customStyle="1" w:styleId="ListNumberAlpha">
    <w:name w:val="List Number Alpha"/>
    <w:basedOn w:val="Normal"/>
    <w:link w:val="ListNumberAlphaChar"/>
    <w:uiPriority w:val="9"/>
    <w:semiHidden/>
    <w:qFormat/>
    <w:rsid w:val="00A10B48"/>
    <w:pPr>
      <w:numPr>
        <w:ilvl w:val="7"/>
        <w:numId w:val="17"/>
      </w:numPr>
      <w:spacing w:before="60" w:after="60"/>
    </w:pPr>
  </w:style>
  <w:style w:type="character" w:customStyle="1" w:styleId="Heading3Char">
    <w:name w:val="Heading 3 Char"/>
    <w:basedOn w:val="DefaultParagraphFont"/>
    <w:link w:val="Heading3"/>
    <w:uiPriority w:val="1"/>
    <w:rsid w:val="00426DB7"/>
    <w:rPr>
      <w:rFonts w:asciiTheme="majorHAnsi" w:hAnsiTheme="majorHAnsi" w:cs="Times New Roman (Body CS)"/>
      <w:caps/>
      <w:color w:val="018219" w:themeColor="accent1"/>
      <w:spacing w:val="8"/>
      <w:sz w:val="22"/>
      <w:lang w:val="en-US"/>
    </w:rPr>
  </w:style>
  <w:style w:type="paragraph" w:customStyle="1" w:styleId="NumberedText">
    <w:name w:val="Numbered Text"/>
    <w:qFormat/>
    <w:rsid w:val="00430C63"/>
    <w:pPr>
      <w:numPr>
        <w:numId w:val="15"/>
      </w:numPr>
      <w:spacing w:before="60" w:after="60" w:line="300" w:lineRule="auto"/>
    </w:pPr>
    <w:rPr>
      <w:rFonts w:cs="Times New Roman (Body CS)"/>
      <w:color w:val="1C1C1C" w:themeColor="text1"/>
      <w:sz w:val="20"/>
    </w:rPr>
  </w:style>
  <w:style w:type="paragraph" w:styleId="Index1">
    <w:name w:val="index 1"/>
    <w:basedOn w:val="Normal"/>
    <w:next w:val="Normal"/>
    <w:autoRedefine/>
    <w:uiPriority w:val="99"/>
    <w:semiHidden/>
    <w:rsid w:val="002C0F0C"/>
    <w:pPr>
      <w:spacing w:after="0" w:line="240" w:lineRule="auto"/>
      <w:ind w:left="180" w:hanging="180"/>
    </w:pPr>
  </w:style>
  <w:style w:type="paragraph" w:styleId="IndexHeading">
    <w:name w:val="index heading"/>
    <w:basedOn w:val="Normal"/>
    <w:next w:val="Index1"/>
    <w:uiPriority w:val="99"/>
    <w:semiHidden/>
    <w:rsid w:val="00426DB7"/>
    <w:rPr>
      <w:rFonts w:eastAsiaTheme="majorEastAsia" w:cstheme="majorBidi"/>
      <w:b/>
      <w:bCs/>
    </w:rPr>
  </w:style>
  <w:style w:type="paragraph" w:styleId="TableofFigures">
    <w:name w:val="table of figures"/>
    <w:basedOn w:val="TOC2"/>
    <w:next w:val="Normal"/>
    <w:uiPriority w:val="99"/>
    <w:rsid w:val="00A04433"/>
    <w:pPr>
      <w:keepNext/>
      <w:tabs>
        <w:tab w:val="clear" w:pos="10653"/>
        <w:tab w:val="right" w:pos="10632"/>
      </w:tabs>
    </w:pPr>
    <w:rPr>
      <w:noProof/>
      <w:spacing w:val="6"/>
    </w:rPr>
  </w:style>
  <w:style w:type="paragraph" w:styleId="TableofAuthorities">
    <w:name w:val="table of authorities"/>
    <w:basedOn w:val="Normal"/>
    <w:next w:val="Normal"/>
    <w:uiPriority w:val="99"/>
    <w:semiHidden/>
    <w:rsid w:val="002C0F0C"/>
    <w:pPr>
      <w:spacing w:after="0"/>
      <w:ind w:left="180" w:hanging="180"/>
    </w:pPr>
    <w:rPr>
      <w:rFonts w:ascii="Verdana" w:hAnsi="Verdana"/>
      <w:spacing w:val="6"/>
      <w:sz w:val="16"/>
    </w:rPr>
  </w:style>
  <w:style w:type="paragraph" w:customStyle="1" w:styleId="AppendixContentsList">
    <w:name w:val="Appendix Contents List"/>
    <w:uiPriority w:val="20"/>
    <w:semiHidden/>
    <w:qFormat/>
    <w:rsid w:val="00245E4A"/>
    <w:pPr>
      <w:tabs>
        <w:tab w:val="left" w:pos="1418"/>
      </w:tabs>
      <w:spacing w:after="125"/>
    </w:pPr>
    <w:rPr>
      <w:rFonts w:ascii="Verdana" w:hAnsi="Verdana"/>
      <w:caps/>
      <w:spacing w:val="8"/>
      <w:sz w:val="20"/>
      <w:szCs w:val="16"/>
    </w:rPr>
  </w:style>
  <w:style w:type="paragraph" w:styleId="TOC3">
    <w:name w:val="toc 3"/>
    <w:basedOn w:val="AppendixContentsList"/>
    <w:next w:val="Normal"/>
    <w:autoRedefine/>
    <w:uiPriority w:val="39"/>
    <w:rsid w:val="00A10B48"/>
    <w:pPr>
      <w:spacing w:before="300" w:after="100" w:line="360" w:lineRule="auto"/>
      <w:contextualSpacing/>
    </w:pPr>
    <w:rPr>
      <w:rFonts w:asciiTheme="minorHAnsi" w:hAnsiTheme="minorHAnsi"/>
      <w:sz w:val="18"/>
    </w:rPr>
  </w:style>
  <w:style w:type="paragraph" w:customStyle="1" w:styleId="Documenttitle">
    <w:name w:val="Document title"/>
    <w:basedOn w:val="Normal"/>
    <w:uiPriority w:val="7"/>
    <w:semiHidden/>
    <w:qFormat/>
    <w:rsid w:val="00426DB7"/>
  </w:style>
  <w:style w:type="paragraph" w:customStyle="1" w:styleId="Version">
    <w:name w:val="Version"/>
    <w:basedOn w:val="Normal"/>
    <w:uiPriority w:val="6"/>
    <w:semiHidden/>
    <w:qFormat/>
    <w:rsid w:val="00426DB7"/>
  </w:style>
  <w:style w:type="paragraph" w:customStyle="1" w:styleId="DocumentSubtitle">
    <w:name w:val="Document Subtitle"/>
    <w:basedOn w:val="Normal"/>
    <w:uiPriority w:val="11"/>
    <w:semiHidden/>
    <w:qFormat/>
    <w:rsid w:val="00426DB7"/>
  </w:style>
  <w:style w:type="character" w:styleId="Hyperlink">
    <w:name w:val="Hyperlink"/>
    <w:basedOn w:val="DefaultParagraphFont"/>
    <w:uiPriority w:val="99"/>
    <w:rsid w:val="00B21A41"/>
    <w:rPr>
      <w:color w:val="1C1C1C" w:themeColor="hyperlink"/>
      <w:u w:val="single"/>
    </w:rPr>
  </w:style>
  <w:style w:type="paragraph" w:customStyle="1" w:styleId="AppendixHeading">
    <w:name w:val="Appendix Heading"/>
    <w:uiPriority w:val="20"/>
    <w:qFormat/>
    <w:rsid w:val="00105A0F"/>
    <w:pPr>
      <w:numPr>
        <w:numId w:val="8"/>
      </w:numPr>
      <w:spacing w:before="480" w:after="240"/>
    </w:pPr>
    <w:rPr>
      <w:rFonts w:asciiTheme="majorHAnsi" w:hAnsiTheme="majorHAnsi" w:cs="Times New Roman (Body CS)"/>
      <w:caps/>
      <w:color w:val="018219" w:themeColor="accent1"/>
      <w:spacing w:val="6"/>
      <w:sz w:val="32"/>
    </w:rPr>
  </w:style>
  <w:style w:type="paragraph" w:styleId="BlockText">
    <w:name w:val="Block Text"/>
    <w:basedOn w:val="Normal"/>
    <w:uiPriority w:val="99"/>
    <w:semiHidden/>
    <w:qFormat/>
    <w:rsid w:val="00B629AC"/>
    <w:pPr>
      <w:pBdr>
        <w:top w:val="single" w:sz="2" w:space="10" w:color="018219" w:themeColor="accent1"/>
        <w:left w:val="single" w:sz="2" w:space="10" w:color="018219" w:themeColor="accent1"/>
        <w:bottom w:val="single" w:sz="2" w:space="10" w:color="018219" w:themeColor="accent1"/>
        <w:right w:val="single" w:sz="2" w:space="10" w:color="018219" w:themeColor="accent1"/>
      </w:pBdr>
      <w:ind w:left="1152" w:right="1152"/>
    </w:pPr>
    <w:rPr>
      <w:i/>
      <w:iCs/>
      <w:color w:val="018219" w:themeColor="accent1"/>
    </w:rPr>
  </w:style>
  <w:style w:type="character" w:customStyle="1" w:styleId="Heading6Char">
    <w:name w:val="Heading 6 Char"/>
    <w:basedOn w:val="DefaultParagraphFont"/>
    <w:link w:val="Heading6"/>
    <w:uiPriority w:val="1"/>
    <w:rsid w:val="00426DB7"/>
    <w:rPr>
      <w:rFonts w:asciiTheme="majorHAnsi" w:hAnsiTheme="majorHAnsi"/>
      <w:b/>
      <w:i/>
      <w:sz w:val="20"/>
    </w:rPr>
  </w:style>
  <w:style w:type="character" w:customStyle="1" w:styleId="Heading7Char">
    <w:name w:val="Heading 7 Char"/>
    <w:basedOn w:val="DefaultParagraphFont"/>
    <w:link w:val="Heading7"/>
    <w:uiPriority w:val="4"/>
    <w:semiHidden/>
    <w:rsid w:val="005C5D4E"/>
    <w:rPr>
      <w:b/>
      <w:iCs/>
      <w:sz w:val="20"/>
    </w:rPr>
  </w:style>
  <w:style w:type="character" w:customStyle="1" w:styleId="GreenText">
    <w:name w:val="Green Text"/>
    <w:basedOn w:val="DefaultParagraphFont"/>
    <w:uiPriority w:val="99"/>
    <w:rsid w:val="001557E5"/>
    <w:rPr>
      <w:color w:val="019920"/>
    </w:rPr>
  </w:style>
  <w:style w:type="paragraph" w:customStyle="1" w:styleId="ListNumberRoman">
    <w:name w:val="List Number Roman"/>
    <w:basedOn w:val="ListNumberAlpha"/>
    <w:link w:val="ListNumberRomanChar"/>
    <w:uiPriority w:val="9"/>
    <w:semiHidden/>
    <w:qFormat/>
    <w:rsid w:val="00A10B48"/>
    <w:pPr>
      <w:numPr>
        <w:ilvl w:val="8"/>
      </w:numPr>
      <w:ind w:left="1803"/>
    </w:pPr>
  </w:style>
  <w:style w:type="character" w:customStyle="1" w:styleId="ListNumberAlphaChar">
    <w:name w:val="List Number Alpha Char"/>
    <w:basedOn w:val="DefaultParagraphFont"/>
    <w:link w:val="ListNumberAlpha"/>
    <w:uiPriority w:val="9"/>
    <w:semiHidden/>
    <w:rsid w:val="00117670"/>
    <w:rPr>
      <w:rFonts w:eastAsiaTheme="minorEastAsia"/>
      <w:sz w:val="20"/>
      <w:lang w:val="en-US"/>
    </w:rPr>
  </w:style>
  <w:style w:type="character" w:customStyle="1" w:styleId="ListNumberRomanChar">
    <w:name w:val="List Number Roman Char"/>
    <w:basedOn w:val="ListNumberAlphaChar"/>
    <w:link w:val="ListNumberRoman"/>
    <w:uiPriority w:val="9"/>
    <w:semiHidden/>
    <w:rsid w:val="00117670"/>
    <w:rPr>
      <w:rFonts w:eastAsiaTheme="minorEastAsia"/>
      <w:sz w:val="20"/>
      <w:lang w:val="en-US"/>
    </w:rPr>
  </w:style>
  <w:style w:type="numbering" w:customStyle="1" w:styleId="CurrentList1">
    <w:name w:val="Current List1"/>
    <w:uiPriority w:val="99"/>
    <w:rsid w:val="00F9590B"/>
    <w:pPr>
      <w:numPr>
        <w:numId w:val="5"/>
      </w:numPr>
    </w:pPr>
  </w:style>
  <w:style w:type="numbering" w:customStyle="1" w:styleId="CurrentList2">
    <w:name w:val="Current List2"/>
    <w:uiPriority w:val="99"/>
    <w:rsid w:val="00F9590B"/>
    <w:pPr>
      <w:numPr>
        <w:numId w:val="6"/>
      </w:numPr>
    </w:pPr>
  </w:style>
  <w:style w:type="numbering" w:customStyle="1" w:styleId="CurrentList3">
    <w:name w:val="Current List3"/>
    <w:uiPriority w:val="99"/>
    <w:rsid w:val="00F9590B"/>
    <w:pPr>
      <w:numPr>
        <w:numId w:val="7"/>
      </w:numPr>
    </w:pPr>
  </w:style>
  <w:style w:type="paragraph" w:styleId="BodyText">
    <w:name w:val="Body Text"/>
    <w:basedOn w:val="Normal"/>
    <w:link w:val="BodyTextChar"/>
    <w:rsid w:val="00C03990"/>
    <w:pPr>
      <w:spacing w:after="120"/>
    </w:pPr>
  </w:style>
  <w:style w:type="character" w:customStyle="1" w:styleId="BodyTextChar">
    <w:name w:val="Body Text Char"/>
    <w:basedOn w:val="DefaultParagraphFont"/>
    <w:link w:val="BodyText"/>
    <w:rsid w:val="00C03990"/>
    <w:rPr>
      <w:rFonts w:eastAsiaTheme="minorEastAsia"/>
      <w:sz w:val="20"/>
      <w:lang w:val="en-US"/>
    </w:rPr>
  </w:style>
  <w:style w:type="paragraph" w:customStyle="1" w:styleId="TableTitle">
    <w:name w:val="Table Title"/>
    <w:basedOn w:val="Normal"/>
    <w:uiPriority w:val="2"/>
    <w:qFormat/>
    <w:rsid w:val="00AE41FB"/>
    <w:pPr>
      <w:keepNext/>
      <w:tabs>
        <w:tab w:val="left" w:pos="1191"/>
      </w:tabs>
      <w:spacing w:after="120"/>
    </w:pPr>
    <w:rPr>
      <w:rFonts w:asciiTheme="majorHAnsi" w:eastAsiaTheme="minorHAnsi" w:hAnsiTheme="majorHAnsi" w:cs="Times New Roman (Body CS)"/>
      <w:caps/>
      <w:color w:val="018219" w:themeColor="accent1"/>
      <w:spacing w:val="4"/>
      <w:szCs w:val="20"/>
      <w:lang w:val="en-GB"/>
    </w:rPr>
  </w:style>
  <w:style w:type="paragraph" w:styleId="TOC4">
    <w:name w:val="toc 4"/>
    <w:basedOn w:val="Normal"/>
    <w:next w:val="Normal"/>
    <w:autoRedefine/>
    <w:uiPriority w:val="39"/>
    <w:rsid w:val="0034471A"/>
    <w:pPr>
      <w:tabs>
        <w:tab w:val="left" w:pos="1531"/>
        <w:tab w:val="right" w:pos="10660"/>
      </w:tabs>
      <w:spacing w:before="240" w:after="120" w:line="360" w:lineRule="auto"/>
      <w:contextualSpacing/>
    </w:pPr>
    <w:rPr>
      <w:rFonts w:asciiTheme="majorHAnsi" w:hAnsiTheme="majorHAnsi" w:cs="Times New Roman (Body CS)"/>
      <w:caps/>
    </w:rPr>
  </w:style>
  <w:style w:type="paragraph" w:styleId="ListNumber">
    <w:name w:val="List Number"/>
    <w:basedOn w:val="NumberedText"/>
    <w:uiPriority w:val="9"/>
    <w:semiHidden/>
    <w:rsid w:val="007C531A"/>
    <w:pPr>
      <w:numPr>
        <w:ilvl w:val="6"/>
        <w:numId w:val="17"/>
      </w:numPr>
    </w:pPr>
  </w:style>
  <w:style w:type="paragraph" w:customStyle="1" w:styleId="Subheading">
    <w:name w:val="Subheading"/>
    <w:next w:val="BodyText"/>
    <w:uiPriority w:val="4"/>
    <w:qFormat/>
    <w:rsid w:val="00591B08"/>
    <w:pPr>
      <w:keepNext/>
      <w:spacing w:before="240" w:line="300" w:lineRule="auto"/>
    </w:pPr>
    <w:rPr>
      <w:i/>
      <w:iCs/>
      <w:sz w:val="20"/>
    </w:rPr>
  </w:style>
  <w:style w:type="numbering" w:customStyle="1" w:styleId="CurrentList4">
    <w:name w:val="Current List4"/>
    <w:uiPriority w:val="99"/>
    <w:rsid w:val="00D34719"/>
    <w:pPr>
      <w:numPr>
        <w:numId w:val="9"/>
      </w:numPr>
    </w:pPr>
  </w:style>
  <w:style w:type="numbering" w:customStyle="1" w:styleId="CurrentList5">
    <w:name w:val="Current List5"/>
    <w:uiPriority w:val="99"/>
    <w:rsid w:val="00D34719"/>
    <w:pPr>
      <w:numPr>
        <w:numId w:val="10"/>
      </w:numPr>
    </w:pPr>
  </w:style>
  <w:style w:type="paragraph" w:customStyle="1" w:styleId="Figureplacement">
    <w:name w:val="Figure placement"/>
    <w:basedOn w:val="BodyText"/>
    <w:next w:val="BodyText"/>
    <w:uiPriority w:val="19"/>
    <w:rsid w:val="00301578"/>
    <w:pPr>
      <w:keepNext/>
      <w:spacing w:before="240"/>
      <w:jc w:val="center"/>
    </w:pPr>
    <w:rPr>
      <w:rFonts w:cs="Arial"/>
      <w:kern w:val="0"/>
      <w:szCs w:val="20"/>
      <w14:ligatures w14:val="none"/>
    </w:rPr>
  </w:style>
  <w:style w:type="paragraph" w:customStyle="1" w:styleId="TableandFigureSource">
    <w:name w:val="Table and Figure Source"/>
    <w:basedOn w:val="BodyText"/>
    <w:next w:val="BodyText"/>
    <w:link w:val="TableandFigureSourceChar"/>
    <w:uiPriority w:val="2"/>
    <w:rsid w:val="00426DB7"/>
    <w:pPr>
      <w:spacing w:after="0" w:line="276" w:lineRule="auto"/>
    </w:pPr>
    <w:rPr>
      <w:kern w:val="0"/>
      <w:sz w:val="18"/>
      <w:szCs w:val="20"/>
      <w14:ligatures w14:val="none"/>
    </w:rPr>
  </w:style>
  <w:style w:type="paragraph" w:customStyle="1" w:styleId="TableandFigureNote">
    <w:name w:val="Table and Figure Note"/>
    <w:basedOn w:val="TableandFigureSource"/>
    <w:next w:val="BodyText"/>
    <w:link w:val="TableandFigureNoteChar"/>
    <w:uiPriority w:val="2"/>
    <w:rsid w:val="00677984"/>
    <w:pPr>
      <w:spacing w:before="60"/>
      <w:contextualSpacing/>
    </w:pPr>
  </w:style>
  <w:style w:type="character" w:customStyle="1" w:styleId="TableandFigureSourceChar">
    <w:name w:val="Table and Figure Source Char"/>
    <w:basedOn w:val="BodyTextChar"/>
    <w:link w:val="TableandFigureSource"/>
    <w:uiPriority w:val="2"/>
    <w:rsid w:val="00426DB7"/>
    <w:rPr>
      <w:rFonts w:eastAsiaTheme="minorEastAsia"/>
      <w:kern w:val="0"/>
      <w:sz w:val="18"/>
      <w:szCs w:val="20"/>
      <w:lang w:val="en-US"/>
      <w14:ligatures w14:val="none"/>
    </w:rPr>
  </w:style>
  <w:style w:type="character" w:customStyle="1" w:styleId="TableandFigureNoteChar">
    <w:name w:val="Table and Figure Note Char"/>
    <w:basedOn w:val="TableandFigureSourceChar"/>
    <w:link w:val="TableandFigureNote"/>
    <w:uiPriority w:val="2"/>
    <w:rsid w:val="00677984"/>
    <w:rPr>
      <w:rFonts w:eastAsiaTheme="minorEastAsia"/>
      <w:kern w:val="0"/>
      <w:sz w:val="18"/>
      <w:szCs w:val="20"/>
      <w:lang w:val="en-US"/>
      <w14:ligatures w14:val="none"/>
    </w:rPr>
  </w:style>
  <w:style w:type="paragraph" w:customStyle="1" w:styleId="BlockQuote">
    <w:name w:val="Block Quote"/>
    <w:basedOn w:val="BodyText"/>
    <w:next w:val="BodyText"/>
    <w:uiPriority w:val="14"/>
    <w:qFormat/>
    <w:rsid w:val="00AA2A92"/>
    <w:pPr>
      <w:spacing w:line="240" w:lineRule="auto"/>
      <w:ind w:left="794" w:right="794"/>
    </w:pPr>
    <w:rPr>
      <w:rFonts w:eastAsiaTheme="minorHAnsi"/>
    </w:rPr>
  </w:style>
  <w:style w:type="numbering" w:customStyle="1" w:styleId="CurrentList6">
    <w:name w:val="Current List6"/>
    <w:uiPriority w:val="99"/>
    <w:rsid w:val="003E0F3F"/>
    <w:pPr>
      <w:numPr>
        <w:numId w:val="11"/>
      </w:numPr>
    </w:pPr>
  </w:style>
  <w:style w:type="character" w:styleId="CommentReference">
    <w:name w:val="annotation reference"/>
    <w:basedOn w:val="DefaultParagraphFont"/>
    <w:uiPriority w:val="99"/>
    <w:semiHidden/>
    <w:rsid w:val="006A0B7F"/>
    <w:rPr>
      <w:sz w:val="16"/>
      <w:szCs w:val="16"/>
    </w:rPr>
  </w:style>
  <w:style w:type="paragraph" w:styleId="CommentText">
    <w:name w:val="annotation text"/>
    <w:basedOn w:val="Normal"/>
    <w:link w:val="CommentTextChar"/>
    <w:uiPriority w:val="99"/>
    <w:semiHidden/>
    <w:rsid w:val="006A0B7F"/>
    <w:pPr>
      <w:spacing w:line="240" w:lineRule="auto"/>
      <w:ind w:right="567"/>
    </w:pPr>
    <w:rPr>
      <w:szCs w:val="20"/>
    </w:rPr>
  </w:style>
  <w:style w:type="character" w:customStyle="1" w:styleId="CommentTextChar">
    <w:name w:val="Comment Text Char"/>
    <w:basedOn w:val="DefaultParagraphFont"/>
    <w:link w:val="CommentText"/>
    <w:uiPriority w:val="99"/>
    <w:semiHidden/>
    <w:rsid w:val="006A0B7F"/>
    <w:rPr>
      <w:sz w:val="20"/>
      <w:szCs w:val="20"/>
    </w:rPr>
  </w:style>
  <w:style w:type="paragraph" w:styleId="FootnoteText">
    <w:name w:val="footnote text"/>
    <w:basedOn w:val="Normal"/>
    <w:link w:val="FootnoteTextChar"/>
    <w:uiPriority w:val="99"/>
    <w:semiHidden/>
    <w:rsid w:val="00DA4A9F"/>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DA4A9F"/>
    <w:rPr>
      <w:sz w:val="18"/>
      <w:szCs w:val="20"/>
    </w:rPr>
  </w:style>
  <w:style w:type="character" w:styleId="FootnoteReference">
    <w:name w:val="footnote reference"/>
    <w:basedOn w:val="DefaultParagraphFont"/>
    <w:uiPriority w:val="99"/>
    <w:semiHidden/>
    <w:rsid w:val="005A76E5"/>
    <w:rPr>
      <w:vertAlign w:val="superscript"/>
    </w:rPr>
  </w:style>
  <w:style w:type="paragraph" w:customStyle="1" w:styleId="CaseStudy">
    <w:name w:val="Case Study"/>
    <w:basedOn w:val="Header"/>
    <w:uiPriority w:val="3"/>
    <w:qFormat/>
    <w:rsid w:val="00210919"/>
    <w:pPr>
      <w:framePr w:hSpace="181" w:wrap="around" w:vAnchor="page" w:hAnchor="margin" w:xAlign="right" w:y="562"/>
      <w:tabs>
        <w:tab w:val="clear" w:pos="10773"/>
        <w:tab w:val="center" w:pos="4513"/>
        <w:tab w:val="right" w:pos="9026"/>
      </w:tabs>
      <w:suppressOverlap/>
      <w:jc w:val="right"/>
    </w:pPr>
    <w:rPr>
      <w:rFonts w:ascii="Verdana" w:hAnsi="Verdana" w:cs="Times New Roman (Body CS)"/>
      <w:caps/>
      <w:color w:val="018219" w:themeColor="accent1"/>
      <w:spacing w:val="8"/>
      <w:sz w:val="34"/>
      <w:szCs w:val="34"/>
    </w:rPr>
  </w:style>
  <w:style w:type="paragraph" w:customStyle="1" w:styleId="Copyright">
    <w:name w:val="Copyright"/>
    <w:basedOn w:val="Normal"/>
    <w:semiHidden/>
    <w:qFormat/>
    <w:rsid w:val="00F806CF"/>
    <w:pPr>
      <w:tabs>
        <w:tab w:val="right" w:pos="10206"/>
      </w:tabs>
      <w:spacing w:after="0" w:line="180" w:lineRule="exact"/>
    </w:pPr>
    <w:rPr>
      <w:color w:val="82887E" w:themeColor="accent6"/>
      <w:sz w:val="12"/>
      <w:szCs w:val="12"/>
    </w:rPr>
  </w:style>
  <w:style w:type="numbering" w:customStyle="1" w:styleId="CurrentList7">
    <w:name w:val="Current List7"/>
    <w:uiPriority w:val="99"/>
    <w:rsid w:val="003A107F"/>
    <w:pPr>
      <w:numPr>
        <w:numId w:val="12"/>
      </w:numPr>
    </w:pPr>
  </w:style>
  <w:style w:type="numbering" w:customStyle="1" w:styleId="CurrentList8">
    <w:name w:val="Current List8"/>
    <w:uiPriority w:val="99"/>
    <w:rsid w:val="003A107F"/>
    <w:pPr>
      <w:numPr>
        <w:numId w:val="13"/>
      </w:numPr>
    </w:pPr>
  </w:style>
  <w:style w:type="numbering" w:customStyle="1" w:styleId="CurrentList9">
    <w:name w:val="Current List9"/>
    <w:uiPriority w:val="99"/>
    <w:rsid w:val="005C5D4E"/>
    <w:pPr>
      <w:numPr>
        <w:numId w:val="18"/>
      </w:numPr>
    </w:pPr>
  </w:style>
  <w:style w:type="numbering" w:customStyle="1" w:styleId="CurrentList10">
    <w:name w:val="Current List10"/>
    <w:uiPriority w:val="99"/>
    <w:rsid w:val="005C5D4E"/>
    <w:pPr>
      <w:numPr>
        <w:numId w:val="19"/>
      </w:numPr>
    </w:pPr>
  </w:style>
  <w:style w:type="numbering" w:customStyle="1" w:styleId="CurrentList11">
    <w:name w:val="Current List11"/>
    <w:uiPriority w:val="99"/>
    <w:rsid w:val="005C5D4E"/>
    <w:pPr>
      <w:numPr>
        <w:numId w:val="20"/>
      </w:numPr>
    </w:pPr>
  </w:style>
  <w:style w:type="numbering" w:customStyle="1" w:styleId="CurrentList12">
    <w:name w:val="Current List12"/>
    <w:uiPriority w:val="99"/>
    <w:rsid w:val="00105A0F"/>
    <w:pPr>
      <w:numPr>
        <w:numId w:val="21"/>
      </w:numPr>
    </w:pPr>
  </w:style>
  <w:style w:type="numbering" w:customStyle="1" w:styleId="CurrentList13">
    <w:name w:val="Current List13"/>
    <w:uiPriority w:val="99"/>
    <w:rsid w:val="00105A0F"/>
    <w:pPr>
      <w:numPr>
        <w:numId w:val="22"/>
      </w:numPr>
    </w:pPr>
  </w:style>
  <w:style w:type="paragraph" w:customStyle="1" w:styleId="Photocaption">
    <w:name w:val="Photo caption"/>
    <w:basedOn w:val="BodyText"/>
    <w:qFormat/>
    <w:rsid w:val="00153066"/>
    <w:pPr>
      <w:spacing w:after="60" w:line="240" w:lineRule="auto"/>
    </w:pPr>
    <w:rPr>
      <w:color w:val="82887E" w:themeColor="accent6"/>
    </w:rPr>
  </w:style>
  <w:style w:type="paragraph" w:customStyle="1" w:styleId="Tabletextcentered">
    <w:name w:val="Table text centered"/>
    <w:basedOn w:val="Tabletextleft"/>
    <w:uiPriority w:val="1"/>
    <w:qFormat/>
    <w:rsid w:val="00426DB7"/>
    <w:pPr>
      <w:jc w:val="center"/>
    </w:pPr>
  </w:style>
  <w:style w:type="paragraph" w:customStyle="1" w:styleId="Tabletextright">
    <w:name w:val="Table text right"/>
    <w:basedOn w:val="Tabletextleft"/>
    <w:uiPriority w:val="1"/>
    <w:qFormat/>
    <w:rsid w:val="00426DB7"/>
    <w:pPr>
      <w:jc w:val="right"/>
    </w:pPr>
  </w:style>
  <w:style w:type="paragraph" w:customStyle="1" w:styleId="TableBullet2">
    <w:name w:val="Table Bullet 2"/>
    <w:basedOn w:val="TableBullet1"/>
    <w:uiPriority w:val="1"/>
    <w:qFormat/>
    <w:rsid w:val="00ED4197"/>
    <w:pPr>
      <w:numPr>
        <w:numId w:val="25"/>
      </w:numPr>
      <w:ind w:left="568" w:hanging="284"/>
    </w:pPr>
  </w:style>
  <w:style w:type="character" w:styleId="UnresolvedMention">
    <w:name w:val="Unresolved Mention"/>
    <w:basedOn w:val="DefaultParagraphFont"/>
    <w:uiPriority w:val="99"/>
    <w:semiHidden/>
    <w:rsid w:val="000B7108"/>
    <w:rPr>
      <w:color w:val="605E5C"/>
      <w:shd w:val="clear" w:color="auto" w:fill="E1DFDD"/>
    </w:rPr>
  </w:style>
  <w:style w:type="paragraph" w:styleId="CommentSubject">
    <w:name w:val="annotation subject"/>
    <w:basedOn w:val="CommentText"/>
    <w:next w:val="CommentText"/>
    <w:link w:val="CommentSubjectChar"/>
    <w:uiPriority w:val="99"/>
    <w:semiHidden/>
    <w:rsid w:val="00F3478D"/>
    <w:pPr>
      <w:ind w:right="0"/>
    </w:pPr>
    <w:rPr>
      <w:b/>
      <w:bCs/>
    </w:rPr>
  </w:style>
  <w:style w:type="character" w:customStyle="1" w:styleId="CommentSubjectChar">
    <w:name w:val="Comment Subject Char"/>
    <w:basedOn w:val="CommentTextChar"/>
    <w:link w:val="CommentSubject"/>
    <w:uiPriority w:val="99"/>
    <w:semiHidden/>
    <w:rsid w:val="00F3478D"/>
    <w:rPr>
      <w:rFonts w:eastAsiaTheme="minorEastAsia"/>
      <w:b/>
      <w:bCs/>
      <w:sz w:val="20"/>
      <w:szCs w:val="20"/>
      <w:lang w:val="en-US"/>
    </w:rPr>
  </w:style>
  <w:style w:type="paragraph" w:styleId="Revision">
    <w:name w:val="Revision"/>
    <w:hidden/>
    <w:uiPriority w:val="99"/>
    <w:semiHidden/>
    <w:rsid w:val="00540875"/>
    <w:rPr>
      <w:rFonts w:eastAsiaTheme="minorEastAsia"/>
      <w:sz w:val="20"/>
      <w:lang w:val="en-US"/>
    </w:rPr>
  </w:style>
  <w:style w:type="character" w:styleId="Mention">
    <w:name w:val="Mention"/>
    <w:basedOn w:val="DefaultParagraphFont"/>
    <w:uiPriority w:val="99"/>
    <w:semiHidden/>
    <w:rsid w:val="007E73EE"/>
    <w:rPr>
      <w:color w:val="2B579A"/>
      <w:shd w:val="clear" w:color="auto" w:fill="E1DFDD"/>
    </w:rPr>
  </w:style>
  <w:style w:type="character" w:styleId="FollowedHyperlink">
    <w:name w:val="FollowedHyperlink"/>
    <w:basedOn w:val="DefaultParagraphFont"/>
    <w:uiPriority w:val="99"/>
    <w:semiHidden/>
    <w:rsid w:val="00055E38"/>
    <w:rPr>
      <w:color w:val="1C1C1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m.com/sustainability-institute/esg/" TargetMode="External"/><Relationship Id="rId18" Type="http://schemas.openxmlformats.org/officeDocument/2006/relationships/hyperlink" Target="https://www.forbes.com/sites/jonmcgowan/2026/04/24/eu-considers-shift-to-international-sustainability-reporting-standards/" TargetMode="External"/><Relationship Id="rId26" Type="http://schemas.openxmlformats.org/officeDocument/2006/relationships/hyperlink" Target="mailto:Katie.langemeier@erm.com" TargetMode="External"/><Relationship Id="rId3" Type="http://schemas.openxmlformats.org/officeDocument/2006/relationships/customXml" Target="../customXml/item3.xml"/><Relationship Id="rId21" Type="http://schemas.openxmlformats.org/officeDocument/2006/relationships/hyperlink" Target="https://www.erm.com/insights/eu-policy-regulation-alert-on-your-marks/" TargetMode="External"/><Relationship Id="rId34"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forbes.com/sites/jonmcgowan/2026/04/24/eu-considers-shift-to-international-sustainability-reporting-standards/" TargetMode="External"/><Relationship Id="rId25" Type="http://schemas.openxmlformats.org/officeDocument/2006/relationships/hyperlink" Target="mailto:Catherine.osborn@erm.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nference-board.org/publications/2026-Proxy-Season-Preview" TargetMode="External"/><Relationship Id="rId20" Type="http://schemas.openxmlformats.org/officeDocument/2006/relationships/hyperlink" Target="https://www.erm.com/insights/uk-introduces-new-disclosure-standards-for-sustainability-reportin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Mark.lee@erm.com"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osapiens.com/sustainability-reporting-rasche-mcp/" TargetMode="External"/><Relationship Id="rId23" Type="http://schemas.openxmlformats.org/officeDocument/2006/relationships/hyperlink" Target="https://www.sustainability.com/" TargetMode="External"/><Relationship Id="rId28"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www.erm.com/insights/march-2026-quarterly-trends-report/"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sgtoday.com/82-of-companies-maintaining-or-accelerating-climate-goals-as-decarbonization-efforts-extend-to-supply-chain-pwc/" TargetMode="External"/><Relationship Id="rId22" Type="http://schemas.openxmlformats.org/officeDocument/2006/relationships/hyperlink" Target="https://www.erm.com/" TargetMode="External"/><Relationship Id="rId27" Type="http://schemas.openxmlformats.org/officeDocument/2006/relationships/hyperlink" Target="mailto:Kristin.siepker@erm.com" TargetMode="External"/><Relationship Id="rId30" Type="http://schemas.openxmlformats.org/officeDocument/2006/relationships/header" Target="header2.xml"/><Relationship Id="rId8"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e.Langemeier\AppData\Local\Temp\Templafy\WordVsto\US%20Flyer%20Template.dotx" TargetMode="External"/></Relationships>
</file>

<file path=word/theme/theme1.xml><?xml version="1.0" encoding="utf-8"?>
<a:theme xmlns:a="http://schemas.openxmlformats.org/drawingml/2006/main" name="Office Theme">
  <a:themeElements>
    <a:clrScheme name="ERM">
      <a:dk1>
        <a:srgbClr val="1C1C1C"/>
      </a:dk1>
      <a:lt1>
        <a:srgbClr val="FFFFFF"/>
      </a:lt1>
      <a:dk2>
        <a:srgbClr val="D1DDD3"/>
      </a:dk2>
      <a:lt2>
        <a:srgbClr val="00FFBE"/>
      </a:lt2>
      <a:accent1>
        <a:srgbClr val="018219"/>
      </a:accent1>
      <a:accent2>
        <a:srgbClr val="0A2C14"/>
      </a:accent2>
      <a:accent3>
        <a:srgbClr val="446D5D"/>
      </a:accent3>
      <a:accent4>
        <a:srgbClr val="82A78D"/>
      </a:accent4>
      <a:accent5>
        <a:srgbClr val="B7B2AA"/>
      </a:accent5>
      <a:accent6>
        <a:srgbClr val="82887E"/>
      </a:accent6>
      <a:hlink>
        <a:srgbClr val="1C1C1C"/>
      </a:hlink>
      <a:folHlink>
        <a:srgbClr val="1C1C1C"/>
      </a:folHlink>
    </a:clrScheme>
    <a:fontScheme name="ERM">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custClrLst>
    <a:custClr name="Mint">
      <a:srgbClr val="00FFBB"/>
    </a:custClr>
    <a:custClr name="Green Alert">
      <a:srgbClr val="00EB00"/>
    </a:custClr>
    <a:custClr name="Yellow Alert">
      <a:srgbClr val="DDFF00"/>
    </a:custClr>
    <a:custClr name="Red Alert">
      <a:srgbClr val="FF3600"/>
    </a:custClr>
    <a:custClr name="Grey Alert">
      <a:srgbClr val="D9D9D9"/>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99D1E9FCDC914EA461DEBAFEBCB5A4" ma:contentTypeVersion="18" ma:contentTypeDescription="Create a new document." ma:contentTypeScope="" ma:versionID="11928d518d49a88eaec975eee3beef7c">
  <xsd:schema xmlns:xsd="http://www.w3.org/2001/XMLSchema" xmlns:xs="http://www.w3.org/2001/XMLSchema" xmlns:p="http://schemas.microsoft.com/office/2006/metadata/properties" xmlns:ns2="21b38472-b195-4122-a674-44399f15072d" xmlns:ns3="ea5352c3-d30a-4761-8d67-2802359b386b" xmlns:ns4="6efd9bda-5fdd-49f3-9692-c2f57a8f124d" targetNamespace="http://schemas.microsoft.com/office/2006/metadata/properties" ma:root="true" ma:fieldsID="ac4a3c40891daa911c9bf855152a1ccc" ns2:_="" ns3:_="" ns4:_="">
    <xsd:import namespace="21b38472-b195-4122-a674-44399f15072d"/>
    <xsd:import namespace="ea5352c3-d30a-4761-8d67-2802359b386b"/>
    <xsd:import namespace="6efd9bda-5fdd-49f3-9692-c2f57a8f12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38472-b195-4122-a674-44399f150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f98923-f688-424c-b29d-669cd34813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5352c3-d30a-4761-8d67-2802359b38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fd9bda-5fdd-49f3-9692-c2f57a8f124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6c9846f9-49e7-4e3d-a721-a1b975f5714f}" ma:internalName="TaxCatchAll" ma:showField="CatchAllData" ma:web="ea5352c3-d30a-4761-8d67-2802359b38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mplafyFormConfiguration><![CDATA[{"formFields":[],"formDataEntries":[]}]]></TemplafyFormConfiguration>
</file>

<file path=customXml/item4.xml><?xml version="1.0" encoding="utf-8"?>
<TemplafyTemplateConfiguration><![CDATA[{"elementsMetadata":[],"transformationConfigurations":[],"templateName":"US Flyer Template","templateDescription":"","enableDocumentContentUpdater":false,"version":"2.0"}]]></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TaxCatchAll xmlns="6efd9bda-5fdd-49f3-9692-c2f57a8f124d" xsi:nil="true"/>
    <lcf76f155ced4ddcb4097134ff3c332f xmlns="21b38472-b195-4122-a674-44399f15072d">
      <Terms xmlns="http://schemas.microsoft.com/office/infopath/2007/PartnerControls"/>
    </lcf76f155ced4ddcb4097134ff3c332f>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F0A0A-298D-45E1-B8C6-578C9047AF80}">
  <ds:schemaRefs>
    <ds:schemaRef ds:uri="http://schemas.microsoft.com/sharepoint/v3/contenttype/forms"/>
  </ds:schemaRefs>
</ds:datastoreItem>
</file>

<file path=customXml/itemProps2.xml><?xml version="1.0" encoding="utf-8"?>
<ds:datastoreItem xmlns:ds="http://schemas.openxmlformats.org/officeDocument/2006/customXml" ds:itemID="{F9C457D8-3D68-48B9-B7B3-978A233DC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38472-b195-4122-a674-44399f15072d"/>
    <ds:schemaRef ds:uri="ea5352c3-d30a-4761-8d67-2802359b386b"/>
    <ds:schemaRef ds:uri="6efd9bda-5fdd-49f3-9692-c2f57a8f1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79C3AA-29A8-472F-8E9D-6450B02A6F39}">
  <ds:schemaRefs/>
</ds:datastoreItem>
</file>

<file path=customXml/itemProps4.xml><?xml version="1.0" encoding="utf-8"?>
<ds:datastoreItem xmlns:ds="http://schemas.openxmlformats.org/officeDocument/2006/customXml" ds:itemID="{B2F14366-93F4-4AFC-9A30-845BE6CBE2F1}">
  <ds:schemaRefs/>
</ds:datastoreItem>
</file>

<file path=customXml/itemProps5.xml><?xml version="1.0" encoding="utf-8"?>
<ds:datastoreItem xmlns:ds="http://schemas.openxmlformats.org/officeDocument/2006/customXml" ds:itemID="{8955CC4B-15BF-4913-B26D-5AD347437E99}">
  <ds:schemaRefs>
    <ds:schemaRef ds:uri="http://schemas.microsoft.com/office/2006/metadata/properties"/>
    <ds:schemaRef ds:uri="http://schemas.microsoft.com/office/infopath/2007/PartnerControls"/>
    <ds:schemaRef ds:uri="6efd9bda-5fdd-49f3-9692-c2f57a8f124d"/>
    <ds:schemaRef ds:uri="21b38472-b195-4122-a674-44399f15072d"/>
  </ds:schemaRefs>
</ds:datastoreItem>
</file>

<file path=customXml/itemProps6.xml><?xml version="1.0" encoding="utf-8"?>
<ds:datastoreItem xmlns:ds="http://schemas.openxmlformats.org/officeDocument/2006/customXml" ds:itemID="{7108702D-A5BE-4668-9159-077BF8666584}">
  <ds:schemaRefs>
    <ds:schemaRef ds:uri="http://schemas.openxmlformats.org/officeDocument/2006/bibliography"/>
  </ds:schemaRefs>
</ds:datastoreItem>
</file>

<file path=docMetadata/LabelInfo.xml><?xml version="1.0" encoding="utf-8"?>
<clbl:labelList xmlns:clbl="http://schemas.microsoft.com/office/2020/mipLabelMetadata">
  <clbl:label id="{a6c0d0a6-a4b9-4802-9a97-568759608577}" enabled="1" method="Standard" siteId="{f2fe6bd3-9c4a-485b-ae69-e18820a88130}" contentBits="0" removed="0"/>
</clbl:labelList>
</file>

<file path=docProps/app.xml><?xml version="1.0" encoding="utf-8"?>
<Properties xmlns="http://schemas.openxmlformats.org/officeDocument/2006/extended-properties" xmlns:vt="http://schemas.openxmlformats.org/officeDocument/2006/docPropsVTypes">
  <Template>US Flyer Template.dotx</Template>
  <TotalTime>87</TotalTime>
  <Pages>6</Pages>
  <Words>2613</Words>
  <Characters>14272</Characters>
  <Application>Microsoft Office Word</Application>
  <DocSecurity>0</DocSecurity>
  <Lines>246</Lines>
  <Paragraphs>74</Paragraphs>
  <ScaleCrop>false</ScaleCrop>
  <Manager/>
  <Company/>
  <LinksUpToDate>false</LinksUpToDate>
  <CharactersWithSpaces>16811</CharactersWithSpaces>
  <SharedDoc>false</SharedDoc>
  <HyperlinkBase/>
  <HLinks>
    <vt:vector size="84" baseType="variant">
      <vt:variant>
        <vt:i4>7536643</vt:i4>
      </vt:variant>
      <vt:variant>
        <vt:i4>39</vt:i4>
      </vt:variant>
      <vt:variant>
        <vt:i4>0</vt:i4>
      </vt:variant>
      <vt:variant>
        <vt:i4>5</vt:i4>
      </vt:variant>
      <vt:variant>
        <vt:lpwstr>mailto:Kristin.siepker@erm.com</vt:lpwstr>
      </vt:variant>
      <vt:variant>
        <vt:lpwstr/>
      </vt:variant>
      <vt:variant>
        <vt:i4>786551</vt:i4>
      </vt:variant>
      <vt:variant>
        <vt:i4>36</vt:i4>
      </vt:variant>
      <vt:variant>
        <vt:i4>0</vt:i4>
      </vt:variant>
      <vt:variant>
        <vt:i4>5</vt:i4>
      </vt:variant>
      <vt:variant>
        <vt:lpwstr>mailto:Katie.langemeier@erm.com</vt:lpwstr>
      </vt:variant>
      <vt:variant>
        <vt:lpwstr/>
      </vt:variant>
      <vt:variant>
        <vt:i4>1048680</vt:i4>
      </vt:variant>
      <vt:variant>
        <vt:i4>33</vt:i4>
      </vt:variant>
      <vt:variant>
        <vt:i4>0</vt:i4>
      </vt:variant>
      <vt:variant>
        <vt:i4>5</vt:i4>
      </vt:variant>
      <vt:variant>
        <vt:lpwstr>mailto:Catherine.osborn@erm.com</vt:lpwstr>
      </vt:variant>
      <vt:variant>
        <vt:lpwstr/>
      </vt:variant>
      <vt:variant>
        <vt:i4>4522018</vt:i4>
      </vt:variant>
      <vt:variant>
        <vt:i4>30</vt:i4>
      </vt:variant>
      <vt:variant>
        <vt:i4>0</vt:i4>
      </vt:variant>
      <vt:variant>
        <vt:i4>5</vt:i4>
      </vt:variant>
      <vt:variant>
        <vt:lpwstr>mailto:Mark.lee@erm.com</vt:lpwstr>
      </vt:variant>
      <vt:variant>
        <vt:lpwstr/>
      </vt:variant>
      <vt:variant>
        <vt:i4>3539060</vt:i4>
      </vt:variant>
      <vt:variant>
        <vt:i4>27</vt:i4>
      </vt:variant>
      <vt:variant>
        <vt:i4>0</vt:i4>
      </vt:variant>
      <vt:variant>
        <vt:i4>5</vt:i4>
      </vt:variant>
      <vt:variant>
        <vt:lpwstr>https://www.sustainability.com/</vt:lpwstr>
      </vt:variant>
      <vt:variant>
        <vt:lpwstr/>
      </vt:variant>
      <vt:variant>
        <vt:i4>5505094</vt:i4>
      </vt:variant>
      <vt:variant>
        <vt:i4>24</vt:i4>
      </vt:variant>
      <vt:variant>
        <vt:i4>0</vt:i4>
      </vt:variant>
      <vt:variant>
        <vt:i4>5</vt:i4>
      </vt:variant>
      <vt:variant>
        <vt:lpwstr>https://www.erm.com/</vt:lpwstr>
      </vt:variant>
      <vt:variant>
        <vt:lpwstr/>
      </vt:variant>
      <vt:variant>
        <vt:i4>6881394</vt:i4>
      </vt:variant>
      <vt:variant>
        <vt:i4>21</vt:i4>
      </vt:variant>
      <vt:variant>
        <vt:i4>0</vt:i4>
      </vt:variant>
      <vt:variant>
        <vt:i4>5</vt:i4>
      </vt:variant>
      <vt:variant>
        <vt:lpwstr>https://www.erm.com/insights/eu-policy-regulation-alert-on-your-marks/</vt:lpwstr>
      </vt:variant>
      <vt:variant>
        <vt:lpwstr/>
      </vt:variant>
      <vt:variant>
        <vt:i4>4718674</vt:i4>
      </vt:variant>
      <vt:variant>
        <vt:i4>18</vt:i4>
      </vt:variant>
      <vt:variant>
        <vt:i4>0</vt:i4>
      </vt:variant>
      <vt:variant>
        <vt:i4>5</vt:i4>
      </vt:variant>
      <vt:variant>
        <vt:lpwstr>https://www.erm.com/insights/uk-introduces-new-disclosure-standards-for-sustainability-reporting/</vt:lpwstr>
      </vt:variant>
      <vt:variant>
        <vt:lpwstr/>
      </vt:variant>
      <vt:variant>
        <vt:i4>65536</vt:i4>
      </vt:variant>
      <vt:variant>
        <vt:i4>15</vt:i4>
      </vt:variant>
      <vt:variant>
        <vt:i4>0</vt:i4>
      </vt:variant>
      <vt:variant>
        <vt:i4>5</vt:i4>
      </vt:variant>
      <vt:variant>
        <vt:lpwstr>https://www.erm.com/insights/march-2026-quarterly-trends-report/</vt:lpwstr>
      </vt:variant>
      <vt:variant>
        <vt:lpwstr/>
      </vt:variant>
      <vt:variant>
        <vt:i4>3407997</vt:i4>
      </vt:variant>
      <vt:variant>
        <vt:i4>12</vt:i4>
      </vt:variant>
      <vt:variant>
        <vt:i4>0</vt:i4>
      </vt:variant>
      <vt:variant>
        <vt:i4>5</vt:i4>
      </vt:variant>
      <vt:variant>
        <vt:lpwstr>https://www.forbes.com/sites/jonmcgowan/2026/04/24/eu-considers-shift-to-international-sustainability-reporting-standards/</vt:lpwstr>
      </vt:variant>
      <vt:variant>
        <vt:lpwstr/>
      </vt:variant>
      <vt:variant>
        <vt:i4>851973</vt:i4>
      </vt:variant>
      <vt:variant>
        <vt:i4>9</vt:i4>
      </vt:variant>
      <vt:variant>
        <vt:i4>0</vt:i4>
      </vt:variant>
      <vt:variant>
        <vt:i4>5</vt:i4>
      </vt:variant>
      <vt:variant>
        <vt:lpwstr>https://www.esgdive.com/news/governance-shareholder-focal-point-shareholders-proxy-season-2026-preview-tcb-report-sec-changes/816337/</vt:lpwstr>
      </vt:variant>
      <vt:variant>
        <vt:lpwstr/>
      </vt:variant>
      <vt:variant>
        <vt:i4>5046343</vt:i4>
      </vt:variant>
      <vt:variant>
        <vt:i4>6</vt:i4>
      </vt:variant>
      <vt:variant>
        <vt:i4>0</vt:i4>
      </vt:variant>
      <vt:variant>
        <vt:i4>5</vt:i4>
      </vt:variant>
      <vt:variant>
        <vt:lpwstr>https://www.esgtoday.com/90-of-companies-no-longer-in-csrd-scope-plan-to-maintain-expand-sustainability-reporting-survey/</vt:lpwstr>
      </vt:variant>
      <vt:variant>
        <vt:lpwstr/>
      </vt:variant>
      <vt:variant>
        <vt:i4>7995494</vt:i4>
      </vt:variant>
      <vt:variant>
        <vt:i4>3</vt:i4>
      </vt:variant>
      <vt:variant>
        <vt:i4>0</vt:i4>
      </vt:variant>
      <vt:variant>
        <vt:i4>5</vt:i4>
      </vt:variant>
      <vt:variant>
        <vt:lpwstr>https://www.esgtoday.com/82-of-companies-maintaining-or-accelerating-climate-goals-as-decarbonization-efforts-extend-to-supply-chain-pwc/</vt:lpwstr>
      </vt:variant>
      <vt:variant>
        <vt:lpwstr>:~:text=PwC%20%2D%20ESG%20Today-,82%25%20of%20Companies%20Maintaining%20or%20Accelerating%20Climate%20Goals%2C%20as%20Decarbonization,Extend%20to%20Supply%20Chain%3A%20PwC</vt:lpwstr>
      </vt:variant>
      <vt:variant>
        <vt:i4>4522072</vt:i4>
      </vt:variant>
      <vt:variant>
        <vt:i4>0</vt:i4>
      </vt:variant>
      <vt:variant>
        <vt:i4>0</vt:i4>
      </vt:variant>
      <vt:variant>
        <vt:i4>5</vt:i4>
      </vt:variant>
      <vt:variant>
        <vt:lpwstr>https://www.erm.com/sustainability-institute/esg/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Langemeier</dc:creator>
  <cp:keywords/>
  <dc:description/>
  <cp:lastModifiedBy>Katie Langemeier</cp:lastModifiedBy>
  <cp:revision>222</cp:revision>
  <cp:lastPrinted>2026-03-12T15:49:00Z</cp:lastPrinted>
  <dcterms:created xsi:type="dcterms:W3CDTF">2026-02-11T18:27:00Z</dcterms:created>
  <dcterms:modified xsi:type="dcterms:W3CDTF">2026-05-11T16:54:00Z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erm</vt:lpwstr>
  </property>
  <property fmtid="{D5CDD505-2E9C-101B-9397-08002B2CF9AE}" pid="3" name="TemplafyTemplateId">
    <vt:lpwstr>746896393993716048</vt:lpwstr>
  </property>
  <property fmtid="{D5CDD505-2E9C-101B-9397-08002B2CF9AE}" pid="4" name="TemplafyUserProfileId">
    <vt:lpwstr>727680393133686867</vt:lpwstr>
  </property>
  <property fmtid="{D5CDD505-2E9C-101B-9397-08002B2CF9AE}" pid="5" name="TemplafyFromBlank">
    <vt:bool>false</vt:bool>
  </property>
  <property fmtid="{D5CDD505-2E9C-101B-9397-08002B2CF9AE}" pid="6" name="GrammarlyDocumentId">
    <vt:lpwstr>392552c5-9bf0-4b69-b53d-8f29a61a937d</vt:lpwstr>
  </property>
  <property fmtid="{D5CDD505-2E9C-101B-9397-08002B2CF9AE}" pid="7" name="ContentTypeId">
    <vt:lpwstr>0x0101001699D1E9FCDC914EA461DEBAFEBCB5A4</vt:lpwstr>
  </property>
  <property fmtid="{D5CDD505-2E9C-101B-9397-08002B2CF9AE}" pid="8" name="docLang">
    <vt:lpwstr>en</vt:lpwstr>
  </property>
  <property fmtid="{D5CDD505-2E9C-101B-9397-08002B2CF9AE}" pid="9" name="MediaServiceImageTags">
    <vt:lpwstr/>
  </property>
</Properties>
</file>